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1.gif" ContentType="image/gif"/>
  <Override PartName="/word/media/image1.gif" ContentType="image/gif"/>
  <Override PartName="/word/media/image5.gif" ContentType="image/gif"/>
  <Override PartName="/word/media/image9.gif" ContentType="image/gif"/>
  <Override PartName="/word/media/image10.gif" ContentType="image/gif"/>
  <Override PartName="/word/media/image4.gif" ContentType="image/gif"/>
  <Override PartName="/word/media/image8.gif" ContentType="image/gif"/>
  <Override PartName="/word/media/image3.gif" ContentType="image/gif"/>
  <Override PartName="/word/media/image7.gif" ContentType="image/gif"/>
  <Override PartName="/word/media/image12.gif" ContentType="image/gif"/>
  <Override PartName="/word/media/image2.gif" ContentType="image/gif"/>
  <Override PartName="/word/media/image6.gif" ContentType="image/gif"/>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5"/>
      </w:pPr>
      <w:r>
        <w:rPr>
          <w:sz w:val="16"/>
          <w:szCs w:val="16"/>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35.2pt;height:22.4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135.7pt;height:59.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49.45pt;height:17.95pt" type="shapetype_75">
              <v:fill detectmouseclick="t"/>
              <v:wrap v:type="none"/>
              <v:stroke color="gray" joinstyle="round"/>
            </v:shape>
          </w:pict>
        </w:rPr>
      </w:r>
      <w:r>
        <w:rPr>
          <w:sz w:val="16"/>
          <w:szCs w:val="16"/>
          <w:pict>
            <v:shape id="shape_0" style="position:absolute;margin-left:0pt;margin-top:0pt;width:49.45pt;height:17.95pt" type="shapetype_75">
              <v:fill detectmouseclick="t"/>
              <v:wrap v:type="none"/>
              <v:stroke color="gray" joinstyle="round"/>
            </v:shape>
          </w:pict>
        </w:rPr>
      </w:r>
      <w:r>
        <w:rPr>
          <w:sz w:val="16"/>
          <w:szCs w:val="16"/>
          <w:pict>
            <v:shape id="shape_0" style="position:absolute;margin-left:0pt;margin-top:0pt;width:80.95pt;height:22.45pt" type="shapetype_75">
              <v:fill detectmouseclick="t"/>
              <v:wrap v:type="none"/>
              <v:stroke color="gray" joinstyle="round"/>
            </v:shape>
          </w:pict>
        </w:rPr>
      </w:r>
      <w:r>
        <w:rPr>
          <w:sz w:val="16"/>
          <w:szCs w:val="16"/>
          <w:pict>
            <v:shape id="shape_0" style="position:absolute;margin-left:0pt;margin-top:0pt;width:108.7pt;height:22.45pt" type="shapetype_75">
              <v:fill detectmouseclick="t"/>
              <v:wrap v:type="none"/>
              <v:stroke color="gray" joinstyle="round"/>
            </v:shape>
          </w:pict>
        </w:rPr>
      </w:r>
      <w:r>
        <w:rPr>
          <w:sz w:val="16"/>
          <w:szCs w:val="16"/>
          <w:pict>
            <v:shape id="shape_0" style="position:absolute;margin-left:0pt;margin-top:0pt;width:60.7pt;height:22.4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39.7pt;height:22.4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20.2pt;height:17.95pt" type="shapetype_75">
              <v:fill detectmouseclick="t"/>
              <v:wrap v:type="none"/>
              <v:stroke color="gray" joinstyle="round"/>
            </v:shape>
          </w:pict>
        </w:rPr>
      </w:r>
      <w:r>
        <w:rPr>
          <w:sz w:val="16"/>
          <w:szCs w:val="16"/>
          <w:pict>
            <v:shape id="shape_0" style="position:absolute;margin-left:0pt;margin-top:0pt;width:49.45pt;height:17.95pt" type="shapetype_75">
              <v:fill detectmouseclick="t"/>
              <v:wrap v:type="none"/>
              <v:stroke color="gray" joinstyle="round"/>
            </v:shape>
          </w:pict>
        </w:rPr>
      </w:r>
      <w:r>
        <w:rPr>
          <w:sz w:val="16"/>
          <w:szCs w:val="16"/>
        </w:rPr>
        <w:t>G.Elias &amp; Muñoz Abogados. Despacho de Abogados en Madrid, con sucursales y Abogados en Madrid, Majadahonda, Pozuelo de Alarcón</w:t>
      </w:r>
    </w:p>
    <w:p>
      <w:pPr>
        <w:pStyle w:val="style0"/>
        <w:spacing w:after="28" w:before="28" w:line="100" w:lineRule="atLeast"/>
        <w:jc w:val="both"/>
      </w:pPr>
      <w:r>
        <w:rPr>
          <w:rFonts w:ascii="Verdana" w:cs="Times New Roman" w:eastAsia="Times New Roman" w:hAnsi="Verdana"/>
          <w:b/>
          <w:bCs/>
          <w:color w:val="525252"/>
          <w:sz w:val="21"/>
          <w:szCs w:val="21"/>
          <w:lang w:eastAsia="es-ES"/>
        </w:rPr>
      </w:r>
    </w:p>
    <w:p>
      <w:pPr>
        <w:pStyle w:val="style0"/>
        <w:spacing w:after="28" w:before="28" w:line="100" w:lineRule="atLeast"/>
        <w:jc w:val="both"/>
      </w:pPr>
      <w:r>
        <w:rPr>
          <w:rFonts w:ascii="Verdana" w:cs="Times New Roman" w:eastAsia="Times New Roman" w:hAnsi="Verdana"/>
          <w:b/>
          <w:bCs/>
          <w:color w:val="525252"/>
          <w:sz w:val="21"/>
          <w:szCs w:val="21"/>
          <w:lang w:eastAsia="es-ES"/>
        </w:rPr>
        <w:t xml:space="preserve">Real Decreto 1596/2011, de 4 de noviembre, por el que se desarrolla la disposición adicional quincuagésima tercera de la Ley General de la Seguridad Social, texto refundido aprobado por el Real Decreto legislativo 1/1994, de 20 de junio, en relación con la extensión de la acción protectora por contingencias profesionales a los trabajadores incluidos en el Régimen Especial de la Seguridad Social de los </w:t>
      </w:r>
      <w:r>
        <w:rPr>
          <w:rFonts w:ascii="Verdana" w:cs="Times New Roman" w:eastAsia="Times New Roman" w:hAnsi="Verdana"/>
          <w:b/>
          <w:bCs/>
          <w:color w:val="FF0B0B"/>
          <w:sz w:val="21"/>
          <w:szCs w:val="21"/>
          <w:lang w:eastAsia="es-ES"/>
        </w:rPr>
        <w:t>Empleados</w:t>
      </w:r>
      <w:r>
        <w:rPr>
          <w:rFonts w:ascii="Verdana" w:cs="Times New Roman" w:eastAsia="Times New Roman" w:hAnsi="Verdana"/>
          <w:b/>
          <w:bCs/>
          <w:color w:val="525252"/>
          <w:sz w:val="21"/>
          <w:szCs w:val="21"/>
          <w:lang w:eastAsia="es-ES"/>
        </w:rPr>
        <w:t xml:space="preserve"> de </w:t>
      </w:r>
      <w:r>
        <w:rPr>
          <w:rFonts w:ascii="Verdana" w:cs="Times New Roman" w:eastAsia="Times New Roman" w:hAnsi="Verdana"/>
          <w:b/>
          <w:bCs/>
          <w:color w:val="FF0B0B"/>
          <w:sz w:val="21"/>
          <w:szCs w:val="21"/>
          <w:lang w:eastAsia="es-ES"/>
        </w:rPr>
        <w:t>Hogar</w:t>
      </w:r>
      <w:r>
        <w:rPr>
          <w:rFonts w:ascii="Verdana" w:cs="Times New Roman" w:eastAsia="Times New Roman" w:hAnsi="Verdana"/>
          <w:b/>
          <w:bCs/>
          <w:color w:val="525252"/>
          <w:sz w:val="21"/>
          <w:szCs w:val="21"/>
          <w:lang w:eastAsia="es-ES"/>
        </w:rPr>
        <w:t xml:space="preserve"> .</w:t>
      </w:r>
    </w:p>
    <w:p>
      <w:pPr>
        <w:pStyle w:val="style0"/>
        <w:spacing w:after="28" w:before="28" w:line="100" w:lineRule="atLeast"/>
        <w:jc w:val="both"/>
      </w:pPr>
      <w:r>
        <w:rPr>
          <w:rFonts w:ascii="Verdana" w:cs="Times New Roman" w:eastAsia="Times New Roman" w:hAnsi="Verdana"/>
          <w:color w:val="9D1F1F"/>
          <w:sz w:val="17"/>
          <w:szCs w:val="17"/>
          <w:lang w:eastAsia="es-ES"/>
        </w:rPr>
        <w:t>BOE 290/2011, de 2 de diciembre de 2011 Ref Boletín: 11/18914</w:t>
      </w:r>
    </w:p>
    <w:p>
      <w:pPr>
        <w:pStyle w:val="style0"/>
        <w:numPr>
          <w:ilvl w:val="0"/>
          <w:numId w:val="1"/>
        </w:numPr>
        <w:spacing w:after="0" w:before="0" w:line="100" w:lineRule="atLeast"/>
        <w:ind w:hanging="0" w:left="0" w:right="0"/>
        <w:jc w:val="both"/>
      </w:pPr>
      <w:r>
        <w:rPr>
          <w:rFonts w:ascii="Verdana" w:cs="Times New Roman" w:eastAsia="Times New Roman" w:hAnsi="Verdana"/>
          <w:color w:val="0087AD"/>
          <w:sz w:val="24"/>
          <w:szCs w:val="24"/>
          <w:lang w:eastAsia="es-ES"/>
        </w:rPr>
        <w:t xml:space="preserve">ÍNDICE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1. Contingencias protegidas y prestaciones</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2. Concepto del accidente de trabajo y de la enfermedad profesional</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3. Alcance de la acción protectora por contingencias profesionales, derivadas de accidente de trabajo o enfermedad profesional</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4. Condiciones de acceso a las prestaciones</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5. Subsidio por incapacidad temporal</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6. Subsidios por riesgo durante el embarazo y por riesgo durante la lactancia natural</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7. Prestaciones por incapacidad permanente, indemnizaciones por lesiones permanentes no invalidantes y prestaciones por muerte y supervivencia</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Artículo 8. Reconocimiento del derecho y pago</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b/>
          <w:bCs/>
          <w:vanish/>
          <w:color w:val="525252"/>
          <w:sz w:val="24"/>
          <w:szCs w:val="24"/>
          <w:lang w:eastAsia="es-ES"/>
        </w:rPr>
        <w:t>DISPOSICIÓN TRANSITORIA</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Transitoria Única. Elección de entidad para la cobertura de las contingencias profesionales</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b/>
          <w:bCs/>
          <w:vanish/>
          <w:color w:val="525252"/>
          <w:sz w:val="24"/>
          <w:szCs w:val="24"/>
          <w:lang w:eastAsia="es-ES"/>
        </w:rPr>
        <w:t>DISPOSICIÓN DEROGATORIA</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Derogatoria Única. Derogación normativa</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b/>
          <w:bCs/>
          <w:vanish/>
          <w:color w:val="525252"/>
          <w:sz w:val="24"/>
          <w:szCs w:val="24"/>
          <w:lang w:eastAsia="es-ES"/>
        </w:rPr>
        <w:t>DISPOSICIONES FINALES</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Final Primera. Título competencial</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Final Segunda. Modificación del Reglamento general sobre inscripción de empresas y afiliación, altas, bajas y variaciones de datos de trabajadores en la Seguridad Social, aprobado por el Real Decreto 84/1996, de 26 de enero</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Final Tercera. Modificación del Reglamento general sobre cotización y liquidación de otros derechos de la Seguridad Social, aprobado por el Real Decreto 2064/1995, de 22 de diciembre</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Final Cuarta. Facultades de aplicación y desarrollo</w:t>
      </w:r>
      <w:r>
        <w:rPr>
          <w:rFonts w:ascii="Verdana" w:cs="Times New Roman" w:eastAsia="Times New Roman" w:hAnsi="Verdana"/>
          <w:vanish/>
          <w:color w:val="525252"/>
          <w:sz w:val="24"/>
          <w:szCs w:val="24"/>
          <w:lang w:eastAsia="es-ES"/>
        </w:rPr>
        <w:t xml:space="preserve"> </w:t>
      </w:r>
    </w:p>
    <w:p>
      <w:pPr>
        <w:pStyle w:val="style0"/>
        <w:numPr>
          <w:ilvl w:val="1"/>
          <w:numId w:val="1"/>
        </w:numPr>
        <w:spacing w:after="30" w:before="0" w:line="330" w:lineRule="atLeast"/>
        <w:ind w:hanging="0" w:left="450" w:right="0"/>
        <w:jc w:val="both"/>
      </w:pPr>
      <w:r>
        <w:rPr>
          <w:rFonts w:ascii="Verdana" w:cs="Times New Roman" w:eastAsia="Times New Roman" w:hAnsi="Verdana"/>
          <w:vanish/>
          <w:color w:val="0087AD"/>
          <w:sz w:val="24"/>
          <w:szCs w:val="24"/>
          <w:lang w:eastAsia="es-ES"/>
        </w:rPr>
        <w:t>Disposición Final Quinta. Entrada en vigor</w:t>
      </w:r>
      <w:r>
        <w:rPr>
          <w:rFonts w:ascii="Verdana" w:cs="Times New Roman" w:eastAsia="Times New Roman" w:hAnsi="Verdana"/>
          <w:vanish/>
          <w:color w:val="525252"/>
          <w:sz w:val="24"/>
          <w:szCs w:val="24"/>
          <w:lang w:eastAsia="es-ES"/>
        </w:rPr>
        <w:t xml:space="preserve"> </w:t>
      </w:r>
    </w:p>
    <w:p>
      <w:pPr>
        <w:pStyle w:val="style0"/>
        <w:numPr>
          <w:ilvl w:val="0"/>
          <w:numId w:val="2"/>
        </w:numPr>
        <w:spacing w:after="0" w:before="0" w:line="100" w:lineRule="atLeast"/>
        <w:ind w:hanging="0" w:left="0" w:right="0"/>
        <w:jc w:val="both"/>
      </w:pPr>
      <w:r>
        <w:rPr>
          <w:rFonts w:ascii="Verdana" w:cs="Times New Roman" w:eastAsia="Times New Roman" w:hAnsi="Verdana"/>
          <w:color w:val="0087AD"/>
          <w:sz w:val="24"/>
          <w:szCs w:val="24"/>
          <w:lang w:eastAsia="es-ES"/>
        </w:rPr>
        <w:t xml:space="preserve">VOCES ASOCIADAS </w:t>
      </w:r>
    </w:p>
    <w:p>
      <w:pPr>
        <w:pStyle w:val="style0"/>
        <w:numPr>
          <w:ilvl w:val="1"/>
          <w:numId w:val="2"/>
        </w:numPr>
        <w:spacing w:after="30" w:before="0" w:line="330" w:lineRule="atLeast"/>
        <w:ind w:hanging="0" w:left="450" w:right="0"/>
        <w:jc w:val="both"/>
      </w:pPr>
      <w:r>
        <w:rPr>
          <w:rFonts w:ascii="Verdana" w:cs="Times New Roman" w:eastAsia="Times New Roman" w:hAnsi="Verdana"/>
          <w:vanish/>
          <w:color w:val="525252"/>
          <w:sz w:val="24"/>
          <w:szCs w:val="24"/>
          <w:lang w:eastAsia="es-ES"/>
        </w:rPr>
        <w:t xml:space="preserve">Seguridad Social </w:t>
      </w:r>
    </w:p>
    <w:p>
      <w:pPr>
        <w:pStyle w:val="style0"/>
        <w:numPr>
          <w:ilvl w:val="0"/>
          <w:numId w:val="3"/>
        </w:numPr>
        <w:spacing w:after="0" w:before="0" w:line="100" w:lineRule="atLeast"/>
        <w:ind w:hanging="0" w:left="0" w:right="0"/>
        <w:jc w:val="both"/>
      </w:pPr>
      <w:r>
        <w:rPr>
          <w:rFonts w:ascii="Verdana" w:cs="Times New Roman" w:eastAsia="Times New Roman" w:hAnsi="Verdana"/>
          <w:color w:val="0087AD"/>
          <w:sz w:val="24"/>
          <w:szCs w:val="24"/>
          <w:lang w:eastAsia="es-ES"/>
        </w:rPr>
        <w:t xml:space="preserve">FICHA TÉCNICA </w:t>
      </w:r>
    </w:p>
    <w:p>
      <w:pPr>
        <w:pStyle w:val="style0"/>
        <w:numPr>
          <w:ilvl w:val="1"/>
          <w:numId w:val="3"/>
        </w:numPr>
        <w:spacing w:after="0" w:before="0" w:line="330" w:lineRule="atLeast"/>
        <w:ind w:hanging="0" w:left="450" w:right="0"/>
        <w:jc w:val="both"/>
      </w:pPr>
      <w:r>
        <w:rPr>
          <w:rFonts w:ascii="Verdana" w:cs="Times New Roman" w:eastAsia="Times New Roman" w:hAnsi="Verdana"/>
          <w:vanish/>
          <w:color w:val="0087AD"/>
          <w:sz w:val="24"/>
          <w:szCs w:val="24"/>
          <w:lang w:eastAsia="es-ES"/>
        </w:rPr>
        <w:t>Vigencia</w:t>
      </w:r>
      <w:r>
        <w:rPr>
          <w:rFonts w:ascii="Verdana" w:cs="Times New Roman" w:eastAsia="Times New Roman" w:hAnsi="Verdana"/>
          <w:vanish/>
          <w:color w:val="525252"/>
          <w:sz w:val="24"/>
          <w:szCs w:val="24"/>
          <w:lang w:eastAsia="es-ES"/>
        </w:rPr>
        <w:t xml:space="preserve"> </w:t>
      </w:r>
    </w:p>
    <w:p>
      <w:pPr>
        <w:pStyle w:val="style0"/>
        <w:numPr>
          <w:ilvl w:val="2"/>
          <w:numId w:val="3"/>
        </w:numPr>
        <w:spacing w:after="30" w:before="0" w:line="330" w:lineRule="atLeast"/>
        <w:ind w:hanging="0" w:left="1050" w:right="0"/>
        <w:jc w:val="both"/>
      </w:pPr>
      <w:r>
        <w:rPr>
          <w:rFonts w:ascii="Verdana" w:cs="Times New Roman" w:eastAsia="Times New Roman" w:hAnsi="Verdana"/>
          <w:vanish/>
          <w:color w:val="525252"/>
          <w:sz w:val="24"/>
          <w:szCs w:val="24"/>
          <w:lang w:eastAsia="es-ES"/>
        </w:rPr>
        <w:t xml:space="preserve">Vigencia desde:1-1-2012 </w:t>
      </w:r>
    </w:p>
    <w:p>
      <w:pPr>
        <w:pStyle w:val="style0"/>
        <w:numPr>
          <w:ilvl w:val="1"/>
          <w:numId w:val="3"/>
        </w:numPr>
        <w:spacing w:after="0" w:before="0" w:line="330" w:lineRule="atLeast"/>
        <w:ind w:hanging="0" w:left="450" w:right="0"/>
        <w:jc w:val="both"/>
      </w:pPr>
      <w:r>
        <w:rPr>
          <w:rFonts w:ascii="Verdana" w:cs="Times New Roman" w:eastAsia="Times New Roman" w:hAnsi="Verdana"/>
          <w:vanish/>
          <w:color w:val="0087AD"/>
          <w:sz w:val="24"/>
          <w:szCs w:val="24"/>
          <w:lang w:eastAsia="es-ES"/>
        </w:rPr>
        <w:t>Documentos anteriores afectados por la presente disposición</w:t>
      </w:r>
      <w:r>
        <w:rPr>
          <w:rFonts w:ascii="Verdana" w:cs="Times New Roman" w:eastAsia="Times New Roman" w:hAnsi="Verdana"/>
          <w:vanish/>
          <w:color w:val="525252"/>
          <w:sz w:val="24"/>
          <w:szCs w:val="24"/>
          <w:lang w:eastAsia="es-ES"/>
        </w:rPr>
        <w:t xml:space="preserve"> </w:t>
      </w:r>
    </w:p>
    <w:p>
      <w:pPr>
        <w:pStyle w:val="style0"/>
        <w:numPr>
          <w:ilvl w:val="2"/>
          <w:numId w:val="3"/>
        </w:numPr>
        <w:spacing w:after="0" w:before="0" w:line="330" w:lineRule="atLeast"/>
        <w:ind w:hanging="0" w:left="1050" w:right="0"/>
        <w:jc w:val="both"/>
      </w:pPr>
      <w:r>
        <w:rPr>
          <w:rFonts w:ascii="Verdana" w:cs="Times New Roman" w:eastAsia="Times New Roman" w:hAnsi="Verdana"/>
          <w:vanish/>
          <w:color w:val="0087AD"/>
          <w:sz w:val="24"/>
          <w:szCs w:val="24"/>
          <w:lang w:eastAsia="es-ES"/>
        </w:rPr>
        <w:t>Legislación</w:t>
      </w:r>
      <w:r>
        <w:rPr>
          <w:rFonts w:ascii="Verdana" w:cs="Times New Roman" w:eastAsia="Times New Roman" w:hAnsi="Verdana"/>
          <w:vanish/>
          <w:color w:val="525252"/>
          <w:sz w:val="24"/>
          <w:szCs w:val="24"/>
          <w:lang w:eastAsia="es-ES"/>
        </w:rPr>
        <w:t xml:space="preserve"> </w:t>
      </w:r>
    </w:p>
    <w:p>
      <w:pPr>
        <w:pStyle w:val="style0"/>
        <w:numPr>
          <w:ilvl w:val="3"/>
          <w:numId w:val="3"/>
        </w:numPr>
        <w:spacing w:after="30" w:before="0" w:line="330" w:lineRule="atLeast"/>
        <w:ind w:hanging="0" w:left="1650" w:right="0"/>
        <w:jc w:val="both"/>
      </w:pPr>
      <w:r>
        <w:rPr>
          <w:rFonts w:ascii="Verdana" w:cs="Times New Roman" w:eastAsia="Times New Roman" w:hAnsi="Verdana"/>
          <w:vanish/>
          <w:color w:val="525252"/>
          <w:sz w:val="24"/>
          <w:szCs w:val="24"/>
          <w:lang w:eastAsia="es-ES"/>
        </w:rPr>
        <w:t xml:space="preserve">RD 295/2009 de 6 marzo 2009. Regula prestaciones económicas del sistema de la Seguridad Social por maternidad, paternidad, riesgo durante el embarazo y riesgo durante la lactancia natural </w:t>
      </w:r>
    </w:p>
    <w:p>
      <w:pPr>
        <w:pStyle w:val="style0"/>
        <w:numPr>
          <w:ilvl w:val="4"/>
          <w:numId w:val="3"/>
        </w:numPr>
        <w:spacing w:after="30" w:before="0" w:line="330" w:lineRule="atLeast"/>
        <w:ind w:hanging="0" w:left="2250" w:right="0"/>
        <w:jc w:val="both"/>
      </w:pPr>
      <w:r>
        <w:rPr>
          <w:rFonts w:ascii="Verdana" w:cs="Times New Roman" w:eastAsia="Times New Roman" w:hAnsi="Verdana"/>
          <w:vanish/>
          <w:color w:val="525252"/>
          <w:sz w:val="24"/>
          <w:szCs w:val="24"/>
          <w:lang w:eastAsia="es-ES"/>
        </w:rPr>
        <w:t xml:space="preserve">Conforme esta disposición </w:t>
      </w:r>
    </w:p>
    <w:p>
      <w:pPr>
        <w:pStyle w:val="style0"/>
        <w:numPr>
          <w:ilvl w:val="3"/>
          <w:numId w:val="3"/>
        </w:numPr>
        <w:spacing w:after="30" w:before="0" w:line="330" w:lineRule="atLeast"/>
        <w:ind w:hanging="0" w:left="1650" w:right="0"/>
        <w:jc w:val="both"/>
      </w:pPr>
      <w:r>
        <w:rPr>
          <w:rFonts w:ascii="Verdana" w:cs="Times New Roman" w:eastAsia="Times New Roman" w:hAnsi="Verdana"/>
          <w:vanish/>
          <w:color w:val="525252"/>
          <w:sz w:val="24"/>
          <w:szCs w:val="24"/>
          <w:lang w:eastAsia="es-ES"/>
        </w:rPr>
        <w:t xml:space="preserve">RD 84/1996 de 26 enero 1996. Rgto. Inscripción Empresas y Afiliación, Altas, Bajas y Variaciones Datos de Trabajadores en S.S. </w:t>
      </w:r>
    </w:p>
    <w:p>
      <w:pPr>
        <w:pStyle w:val="style0"/>
        <w:numPr>
          <w:ilvl w:val="4"/>
          <w:numId w:val="3"/>
        </w:numPr>
        <w:spacing w:after="30" w:before="0" w:line="330" w:lineRule="atLeast"/>
        <w:ind w:hanging="0" w:left="2250" w:right="0"/>
        <w:jc w:val="both"/>
      </w:pPr>
      <w:r>
        <w:rPr>
          <w:rFonts w:ascii="Verdana" w:cs="Times New Roman" w:eastAsia="Times New Roman" w:hAnsi="Verdana"/>
          <w:vanish/>
          <w:color w:val="525252"/>
          <w:sz w:val="24"/>
          <w:szCs w:val="24"/>
          <w:lang w:eastAsia="es-ES"/>
        </w:rPr>
        <w:t xml:space="preserve">Da nueva redacción art.49.1, art.49.2 </w:t>
      </w:r>
    </w:p>
    <w:p>
      <w:pPr>
        <w:pStyle w:val="style0"/>
        <w:numPr>
          <w:ilvl w:val="3"/>
          <w:numId w:val="3"/>
        </w:numPr>
        <w:spacing w:after="30" w:before="0" w:line="330" w:lineRule="atLeast"/>
        <w:ind w:hanging="0" w:left="1650" w:right="0"/>
        <w:jc w:val="both"/>
      </w:pPr>
      <w:r>
        <w:rPr>
          <w:rFonts w:ascii="Verdana" w:cs="Times New Roman" w:eastAsia="Times New Roman" w:hAnsi="Verdana"/>
          <w:vanish/>
          <w:color w:val="525252"/>
          <w:sz w:val="24"/>
          <w:szCs w:val="24"/>
          <w:lang w:eastAsia="es-ES"/>
        </w:rPr>
        <w:t xml:space="preserve">RD 2064/1995 de 22 diciembre 1995. Cotización y Liquidación de otros Derechos de la Seguridad Social </w:t>
      </w:r>
    </w:p>
    <w:p>
      <w:pPr>
        <w:pStyle w:val="style0"/>
        <w:numPr>
          <w:ilvl w:val="4"/>
          <w:numId w:val="3"/>
        </w:numPr>
        <w:spacing w:after="30" w:before="0" w:line="330" w:lineRule="atLeast"/>
        <w:ind w:hanging="0" w:left="2250" w:right="0"/>
        <w:jc w:val="both"/>
      </w:pPr>
      <w:r>
        <w:rPr>
          <w:rFonts w:ascii="Verdana" w:cs="Times New Roman" w:eastAsia="Times New Roman" w:hAnsi="Verdana"/>
          <w:vanish/>
          <w:color w:val="525252"/>
          <w:sz w:val="24"/>
          <w:szCs w:val="24"/>
          <w:lang w:eastAsia="es-ES"/>
        </w:rPr>
        <w:t xml:space="preserve">Da nueva redacción art.11.1, art.46, art.48, art.50 </w:t>
      </w:r>
    </w:p>
    <w:p>
      <w:pPr>
        <w:pStyle w:val="style0"/>
        <w:numPr>
          <w:ilvl w:val="3"/>
          <w:numId w:val="3"/>
        </w:numPr>
        <w:spacing w:after="30" w:before="0" w:line="330" w:lineRule="atLeast"/>
        <w:ind w:hanging="0" w:left="1650" w:right="0"/>
        <w:jc w:val="both"/>
      </w:pPr>
      <w:r>
        <w:rPr>
          <w:rFonts w:ascii="Verdana" w:cs="Times New Roman" w:eastAsia="Times New Roman" w:hAnsi="Verdana"/>
          <w:vanish/>
          <w:color w:val="525252"/>
          <w:sz w:val="24"/>
          <w:szCs w:val="24"/>
          <w:lang w:eastAsia="es-ES"/>
        </w:rPr>
        <w:t xml:space="preserve">RDLeg. 1/1994 de 20 junio 1994. TR Ley General de la Seguridad Social </w:t>
      </w:r>
    </w:p>
    <w:p>
      <w:pPr>
        <w:pStyle w:val="style0"/>
        <w:numPr>
          <w:ilvl w:val="4"/>
          <w:numId w:val="3"/>
        </w:numPr>
        <w:spacing w:after="30" w:before="0" w:line="330" w:lineRule="atLeast"/>
        <w:ind w:hanging="0" w:left="2250" w:right="0"/>
        <w:jc w:val="both"/>
      </w:pPr>
      <w:r>
        <w:rPr>
          <w:rFonts w:ascii="Verdana" w:cs="Times New Roman" w:eastAsia="Times New Roman" w:hAnsi="Verdana"/>
          <w:vanish/>
          <w:color w:val="525252"/>
          <w:sz w:val="24"/>
          <w:szCs w:val="24"/>
          <w:lang w:eastAsia="es-ES"/>
        </w:rPr>
        <w:t xml:space="preserve">Desarrolla dad.53 </w:t>
      </w:r>
    </w:p>
    <w:p>
      <w:pPr>
        <w:pStyle w:val="style0"/>
        <w:numPr>
          <w:ilvl w:val="3"/>
          <w:numId w:val="3"/>
        </w:numPr>
        <w:spacing w:after="30" w:before="0" w:line="330" w:lineRule="atLeast"/>
        <w:ind w:hanging="0" w:left="1650" w:right="0"/>
        <w:jc w:val="both"/>
      </w:pPr>
      <w:r>
        <w:rPr>
          <w:rFonts w:ascii="Verdana" w:cs="Times New Roman" w:eastAsia="Times New Roman" w:hAnsi="Verdana"/>
          <w:vanish/>
          <w:color w:val="525252"/>
          <w:sz w:val="24"/>
          <w:szCs w:val="24"/>
          <w:lang w:eastAsia="es-ES"/>
        </w:rPr>
        <w:t xml:space="preserve">D 2346/1969 de 25 septiembre 1969. Régimen Especial de la Seguridad Social del Servicio Doméstico </w:t>
      </w:r>
    </w:p>
    <w:p>
      <w:pPr>
        <w:pStyle w:val="style0"/>
        <w:numPr>
          <w:ilvl w:val="4"/>
          <w:numId w:val="3"/>
        </w:numPr>
        <w:spacing w:after="30" w:before="0" w:line="330" w:lineRule="atLeast"/>
        <w:ind w:hanging="0" w:left="2250" w:right="0"/>
        <w:jc w:val="both"/>
      </w:pPr>
      <w:r>
        <w:rPr>
          <w:rFonts w:ascii="Verdana" w:cs="Times New Roman" w:eastAsia="Times New Roman" w:hAnsi="Verdana"/>
          <w:vanish/>
          <w:color w:val="525252"/>
          <w:sz w:val="24"/>
          <w:szCs w:val="24"/>
          <w:lang w:eastAsia="es-ES"/>
        </w:rPr>
        <w:t xml:space="preserve">Deroga art.22.3, art.33.2 </w:t>
      </w:r>
    </w:p>
    <w:p>
      <w:pPr>
        <w:pStyle w:val="style0"/>
        <w:numPr>
          <w:ilvl w:val="1"/>
          <w:numId w:val="3"/>
        </w:numPr>
        <w:spacing w:after="30" w:before="0" w:line="330" w:lineRule="atLeast"/>
        <w:ind w:hanging="0" w:left="450" w:right="0"/>
        <w:jc w:val="both"/>
      </w:pPr>
      <w:r>
        <w:rPr>
          <w:rFonts w:ascii="Verdana" w:cs="Times New Roman" w:eastAsia="Times New Roman" w:hAnsi="Verdana"/>
          <w:vanish/>
          <w:color w:val="525252"/>
          <w:sz w:val="24"/>
          <w:szCs w:val="24"/>
          <w:lang w:eastAsia="es-ES"/>
        </w:rPr>
        <w:t xml:space="preserve">  </w:t>
      </w:r>
    </w:p>
    <w:p>
      <w:pPr>
        <w:pStyle w:val="style0"/>
        <w:spacing w:after="28" w:before="28" w:line="100" w:lineRule="atLeast"/>
        <w:jc w:val="both"/>
      </w:pPr>
      <w:bookmarkStart w:id="0" w:name="LOC_INI"/>
      <w:bookmarkEnd w:id="0"/>
      <w:r>
        <w:rPr>
          <w:rFonts w:ascii="Verdana" w:cs="Times New Roman" w:eastAsia="Times New Roman" w:hAnsi="Verdana"/>
          <w:color w:val="272923"/>
          <w:sz w:val="24"/>
          <w:szCs w:val="24"/>
          <w:lang w:eastAsia="es-ES"/>
        </w:rPr>
        <w:t xml:space="preserve">La disposición final tercera, nueve, de la Ley 39/2010, de 22 de diciembre, de Presupuestos Generales del Estado para el año 2011, ha añadido una nueva disposición adicional, la quincuagésima tercera, a la Ley General de la Seguridad Social, texto refundido aprobado por el Real Decreto legislativo 1/1994, de 20 de junio, mediante la cual se extiende, con efectos de 1 de enero de 2011, la acción protectora por contingencias profesionales a los trabajadores incluidos en el Régimen Especial de la Seguridad Social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w:t>
      </w:r>
    </w:p>
    <w:p>
      <w:pPr>
        <w:pStyle w:val="style0"/>
        <w:spacing w:after="28" w:before="28" w:line="100" w:lineRule="atLeast"/>
        <w:jc w:val="both"/>
      </w:pPr>
      <w:r>
        <w:rPr>
          <w:rFonts w:ascii="Verdana" w:cs="Times New Roman" w:eastAsia="Times New Roman" w:hAnsi="Verdana"/>
          <w:color w:val="272923"/>
          <w:sz w:val="24"/>
          <w:szCs w:val="24"/>
          <w:lang w:eastAsia="es-ES"/>
        </w:rPr>
        <w:t>Esta norma cabe enmarcarla en el proceso iniciado como consecuencia del denominado Pacto de Toledo de 1995, en su recomendación cuarta y sus posteriores actualizaciones en 2003 y 2011, que determinan un principio de homogeneización gradual de la regulación de los distintos regímenes especiales y una ampliación de las contingencias protegidas que debe culminar en una equiparación con la acción protectora del Régimen General.</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Hasta ahora, en virtud de lo dispuesto en el Decreto 2346/1969, de 25 de septiembre, por el que se regula el Régimen Especial de la Seguridad Social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 las contingencias protegidas en este régimen eran exclusivamente las establecidas en el Régimen General de la Seguridad Social por contingencias comunes, con independencia de que la enfermedad o el accidente del </w:t>
      </w:r>
      <w:r>
        <w:rPr>
          <w:rFonts w:ascii="Verdana" w:cs="Times New Roman" w:eastAsia="Times New Roman" w:hAnsi="Verdana"/>
          <w:color w:val="FF0B0B"/>
          <w:sz w:val="24"/>
          <w:szCs w:val="24"/>
          <w:lang w:eastAsia="es-ES"/>
        </w:rPr>
        <w:t>empleado</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tuvieran, respectivamente, carácter profesional o laboral, o no lo tuvieran.</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Debido, por tanto, a que el Régimen Especial de la Seguridad Social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tenía reconocido menor número de contingencias dentro del sistema de Seguridad Social, era necesario hacer efectiva la ampliación de las contingencias protegidas, incluyendo las de carácter profesional, con el objeto de equiparar las condiciones de protección de los trabajadores incluidos en el campo de aplicación del citado régimen con los pertenecientes a los demás regímenes.</w:t>
      </w:r>
    </w:p>
    <w:p>
      <w:pPr>
        <w:pStyle w:val="style0"/>
        <w:spacing w:after="28" w:before="28" w:line="100" w:lineRule="atLeast"/>
        <w:jc w:val="both"/>
      </w:pPr>
      <w:r>
        <w:rPr>
          <w:rFonts w:ascii="Verdana" w:cs="Times New Roman" w:eastAsia="Times New Roman" w:hAnsi="Verdana"/>
          <w:color w:val="272923"/>
          <w:sz w:val="24"/>
          <w:szCs w:val="24"/>
          <w:lang w:eastAsia="es-ES"/>
        </w:rPr>
        <w:t>La referida disposición adicional quincuagésima tercera de la Ley General de la Seguridad Social establece también que por las contingencias profesionales se reconocerán las prestaciones que, por las mismas, están previstas para los trabajadores incluidos en el Régimen General, en los términos y condiciones que se establezcan reglamentariamente, determinando asimismo la consiguiente obligación de cotizar por las repetidas contingencias y remitiendo a la norma correspondiente la especificación del tipo de cotización previsto al efecto en la tarifa de primas por esas contingencias profesionales que haya de aplicarse a estos trabajadores.</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En consecuencia, de acuerdo con lo determinado en la referida disposición adicional y al objeto de hacer plenamente efectiva la nueva extensión de la acción protectora de las personas incluidas en el aludido Régimen Especial de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 se hace preciso proceder tanto a la adaptación de los Reglamentos generales sobre inscripción de empresas y afiliación, altas, bajas y variaciones de datos de trabajadores en la Seguridad Social, y sobre cotización y liquidación de otros derechos de la Seguridad Social, aprobados, respectivamente, por los Reales Decretos 84/1996, de 26 de enero, y 2064/1995, de 22 de diciembre, como al oportuno desarrollo reglamentario en materia de prestaciones.</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Este desarrollo reglamentario se hace sin perjuicio de la adaptación que será preciso realizar cuando, con efectos del día 1 de enero de 2012, tengan efectividad las previsiones de la Ley 27/2011, de 1 de agosto, sobre actualización, adecuación y modernización del sistema de Seguridad Social, referidas a la integración del Régimen Especial de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en el Régimen General de la Seguridad Social.</w:t>
      </w:r>
    </w:p>
    <w:p>
      <w:pPr>
        <w:pStyle w:val="style0"/>
        <w:spacing w:after="28" w:before="28" w:line="100" w:lineRule="atLeast"/>
        <w:jc w:val="both"/>
      </w:pPr>
      <w:r>
        <w:rPr>
          <w:rFonts w:ascii="Verdana" w:cs="Times New Roman" w:eastAsia="Times New Roman" w:hAnsi="Verdana"/>
          <w:color w:val="272923"/>
          <w:sz w:val="24"/>
          <w:szCs w:val="24"/>
          <w:lang w:eastAsia="es-ES"/>
        </w:rPr>
        <w:t>En la tramitación de este real decreto se han recabado los informes oportunos a los interlocutores sociales y a los órganos afectados de la Administración General del Estado.</w:t>
      </w:r>
    </w:p>
    <w:p>
      <w:pPr>
        <w:pStyle w:val="style0"/>
        <w:spacing w:after="28" w:before="28" w:line="100" w:lineRule="atLeast"/>
        <w:jc w:val="both"/>
      </w:pPr>
      <w:r>
        <w:rPr>
          <w:rFonts w:ascii="Verdana" w:cs="Times New Roman" w:eastAsia="Times New Roman" w:hAnsi="Verdana"/>
          <w:color w:val="272923"/>
          <w:sz w:val="24"/>
          <w:szCs w:val="24"/>
          <w:lang w:eastAsia="es-ES"/>
        </w:rPr>
        <w:t>El real decreto se dicta de conformidad con la disposición final séptima del texto refundido de la Ley General de la Seguridad Social, aprobado por el Real Decreto Legislativo 1/1994, de 20 de junio.</w:t>
      </w:r>
    </w:p>
    <w:p>
      <w:pPr>
        <w:pStyle w:val="style0"/>
        <w:spacing w:after="28" w:before="28" w:line="100" w:lineRule="atLeast"/>
        <w:jc w:val="both"/>
      </w:pPr>
      <w:r>
        <w:rPr>
          <w:rFonts w:ascii="Verdana" w:cs="Times New Roman" w:eastAsia="Times New Roman" w:hAnsi="Verdana"/>
          <w:color w:val="272923"/>
          <w:sz w:val="24"/>
          <w:szCs w:val="24"/>
          <w:lang w:eastAsia="es-ES"/>
        </w:rPr>
        <w:t>En su virtud, a propuesta del Ministro de Trabajo e Inmigración, de acuerdo con el Consejo de Estado y previa deliberación del Consejo de Ministros en su reunión del día 4 de noviembre de 2011,</w:t>
      </w:r>
    </w:p>
    <w:p>
      <w:pPr>
        <w:pStyle w:val="style0"/>
        <w:spacing w:after="28" w:before="28" w:line="100" w:lineRule="atLeast"/>
        <w:jc w:val="both"/>
      </w:pPr>
      <w:r>
        <w:rPr>
          <w:rFonts w:ascii="Verdana" w:cs="Times New Roman" w:eastAsia="Times New Roman" w:hAnsi="Verdana"/>
          <w:color w:val="272923"/>
          <w:sz w:val="24"/>
          <w:szCs w:val="24"/>
          <w:lang w:eastAsia="es-ES"/>
        </w:rPr>
        <w:t>DISPONGO:</w:t>
      </w:r>
    </w:p>
    <w:p>
      <w:pPr>
        <w:pStyle w:val="style0"/>
        <w:spacing w:after="28" w:before="28" w:line="100" w:lineRule="atLeast"/>
        <w:jc w:val="both"/>
      </w:pPr>
      <w:bookmarkStart w:id="1" w:name="LOC_ART.1"/>
      <w:bookmarkStart w:id="2" w:name="SE1"/>
      <w:bookmarkEnd w:id="1"/>
      <w:bookmarkEnd w:id="2"/>
      <w:r>
        <w:rPr>
          <w:rFonts w:ascii="Verdana" w:cs="Times New Roman" w:eastAsia="Times New Roman" w:hAnsi="Verdana"/>
          <w:b/>
          <w:bCs/>
          <w:caps/>
          <w:color w:val="0087AD"/>
          <w:sz w:val="24"/>
          <w:szCs w:val="24"/>
          <w:lang w:eastAsia="es-ES"/>
        </w:rPr>
        <w:t>Artículo 1.  </w:t>
      </w:r>
      <w:r>
        <w:rPr>
          <w:rFonts w:ascii="Verdana" w:cs="Times New Roman" w:eastAsia="Times New Roman" w:hAnsi="Verdana"/>
          <w:color w:val="0087AD"/>
          <w:sz w:val="24"/>
          <w:szCs w:val="24"/>
          <w:lang w:eastAsia="es-ES"/>
        </w:rPr>
        <w:t xml:space="preserve">  Contingencias protegidas y prestaciones </w:t>
      </w:r>
    </w:p>
    <w:p>
      <w:pPr>
        <w:pStyle w:val="style0"/>
        <w:spacing w:after="28" w:before="28" w:line="100" w:lineRule="atLeast"/>
        <w:jc w:val="both"/>
      </w:pPr>
      <w:r>
        <w:rPr>
          <w:rFonts w:ascii="Verdana" w:cs="Times New Roman" w:eastAsia="Times New Roman" w:hAnsi="Verdana"/>
          <w:color w:val="272923"/>
          <w:sz w:val="24"/>
          <w:szCs w:val="24"/>
          <w:lang w:eastAsia="es-ES"/>
        </w:rPr>
        <w:t>A los efectos de lo establecido en la disposición adicional quincuagésima tercera de la Ley General de la Seguridad Social</w:t>
      </w:r>
      <w:hyperlink r:id="rId2">
        <w:r>
          <w:rPr>
            <w:rStyle w:val="style16"/>
            <w:rFonts w:ascii="Verdana" w:cs="Times New Roman" w:eastAsia="Times New Roman" w:hAnsi="Verdana"/>
            <w:color w:val="0000FF"/>
            <w:sz w:val="24"/>
            <w:szCs w:val="24"/>
            <w:u w:val="single"/>
            <w:lang w:eastAsia="es-ES"/>
          </w:rPr>
          <w:t xml:space="preserve"> EDL 1994/16443 </w:t>
        </w:r>
      </w:hyperlink>
      <w:r>
        <w:rPr>
          <w:rFonts w:ascii="Verdana" w:cs="Times New Roman" w:eastAsia="Times New Roman" w:hAnsi="Verdana"/>
          <w:color w:val="272923"/>
          <w:sz w:val="24"/>
          <w:szCs w:val="24"/>
          <w:lang w:eastAsia="es-ES"/>
        </w:rPr>
        <w:t xml:space="preserve">, en el Régimen Especial de la Seguridad Social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se consideran protegidas las contingencias por accidente de trabajo y enfermedad profesional en los mismos términos y condiciones que los establecidos para la cobertura de las contingencias profesionales en el Régimen General.</w:t>
      </w:r>
    </w:p>
    <w:p>
      <w:pPr>
        <w:pStyle w:val="style0"/>
        <w:spacing w:after="28" w:before="28" w:line="100" w:lineRule="atLeast"/>
        <w:jc w:val="both"/>
      </w:pPr>
      <w:r>
        <w:rPr>
          <w:rFonts w:ascii="Verdana" w:cs="Times New Roman" w:eastAsia="Times New Roman" w:hAnsi="Verdana"/>
          <w:color w:val="272923"/>
          <w:sz w:val="24"/>
          <w:szCs w:val="24"/>
          <w:lang w:eastAsia="es-ES"/>
        </w:rPr>
        <w:t>Por las contingencias indicadas se reconocerán las prestaciones que, por las mismas, están previstas en el Régimen General, en los términos y condiciones que se establecen en este real decreto.</w:t>
      </w:r>
    </w:p>
    <w:p>
      <w:pPr>
        <w:pStyle w:val="style0"/>
        <w:spacing w:after="28" w:before="28" w:line="100" w:lineRule="atLeast"/>
        <w:jc w:val="both"/>
      </w:pPr>
      <w:bookmarkStart w:id="3" w:name="LOC_ART.2"/>
      <w:bookmarkStart w:id="4" w:name="SE2"/>
      <w:bookmarkEnd w:id="3"/>
      <w:bookmarkEnd w:id="4"/>
      <w:r>
        <w:rPr>
          <w:rFonts w:ascii="Verdana" w:cs="Times New Roman" w:eastAsia="Times New Roman" w:hAnsi="Verdana"/>
          <w:b/>
          <w:bCs/>
          <w:caps/>
          <w:color w:val="0087AD"/>
          <w:sz w:val="24"/>
          <w:szCs w:val="24"/>
          <w:lang w:eastAsia="es-ES"/>
        </w:rPr>
        <w:t>Artículo 2.  </w:t>
      </w:r>
      <w:r>
        <w:rPr>
          <w:rFonts w:ascii="Verdana" w:cs="Times New Roman" w:eastAsia="Times New Roman" w:hAnsi="Verdana"/>
          <w:color w:val="0087AD"/>
          <w:sz w:val="24"/>
          <w:szCs w:val="24"/>
          <w:lang w:eastAsia="es-ES"/>
        </w:rPr>
        <w:t xml:space="preserve">  Concepto del accidente de trabajo y de la enfermedad profesional </w:t>
      </w:r>
    </w:p>
    <w:p>
      <w:pPr>
        <w:pStyle w:val="style0"/>
        <w:spacing w:after="28" w:before="28" w:line="100" w:lineRule="atLeast"/>
        <w:jc w:val="both"/>
      </w:pPr>
      <w:r>
        <w:rPr>
          <w:rFonts w:ascii="Verdana" w:cs="Times New Roman" w:eastAsia="Times New Roman" w:hAnsi="Verdana"/>
          <w:color w:val="272923"/>
          <w:sz w:val="24"/>
          <w:szCs w:val="24"/>
          <w:lang w:eastAsia="es-ES"/>
        </w:rPr>
        <w:t>Para el cumplimiento de lo previsto en esta norma, los conceptos del accidente de trabajo y de la enfermedad profesional serán los establecidos, respectivamente, en los arts. 115 y 116 de la Ley General de la Seguridad Social, texto refundido aprobado por el Real Decreto Legislativo 1/1994, de 20 de junio.</w:t>
      </w:r>
    </w:p>
    <w:p>
      <w:pPr>
        <w:pStyle w:val="style0"/>
        <w:spacing w:after="28" w:before="28" w:line="100" w:lineRule="atLeast"/>
        <w:jc w:val="both"/>
      </w:pPr>
      <w:bookmarkStart w:id="5" w:name="LOC_ART.3"/>
      <w:bookmarkStart w:id="6" w:name="SE3"/>
      <w:bookmarkEnd w:id="5"/>
      <w:bookmarkEnd w:id="6"/>
      <w:r>
        <w:rPr>
          <w:rFonts w:ascii="Verdana" w:cs="Times New Roman" w:eastAsia="Times New Roman" w:hAnsi="Verdana"/>
          <w:b/>
          <w:bCs/>
          <w:caps/>
          <w:color w:val="0087AD"/>
          <w:sz w:val="24"/>
          <w:szCs w:val="24"/>
          <w:lang w:eastAsia="es-ES"/>
        </w:rPr>
        <w:t>Artículo 3.  </w:t>
      </w:r>
      <w:r>
        <w:rPr>
          <w:rFonts w:ascii="Verdana" w:cs="Times New Roman" w:eastAsia="Times New Roman" w:hAnsi="Verdana"/>
          <w:color w:val="0087AD"/>
          <w:sz w:val="24"/>
          <w:szCs w:val="24"/>
          <w:lang w:eastAsia="es-ES"/>
        </w:rPr>
        <w:t xml:space="preserve">  Alcance de la acción protectora por contingencias profesionales, derivadas de accidente de trabajo o enfermedad profesional </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1.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y, en su caso, sus familiares tendrán derecho a las prestaciones siguientes:</w:t>
      </w:r>
    </w:p>
    <w:p>
      <w:pPr>
        <w:pStyle w:val="style0"/>
        <w:spacing w:after="28" w:before="28" w:line="100" w:lineRule="atLeast"/>
        <w:jc w:val="both"/>
      </w:pPr>
      <w:r>
        <w:rPr>
          <w:rFonts w:ascii="Verdana" w:cs="Times New Roman" w:eastAsia="Times New Roman" w:hAnsi="Verdana"/>
          <w:color w:val="272923"/>
          <w:sz w:val="24"/>
          <w:szCs w:val="24"/>
          <w:lang w:eastAsia="es-ES"/>
        </w:rPr>
        <w:t>a) Asistencia sanitaria.</w:t>
      </w:r>
    </w:p>
    <w:p>
      <w:pPr>
        <w:pStyle w:val="style0"/>
        <w:spacing w:after="28" w:before="28" w:line="100" w:lineRule="atLeast"/>
        <w:jc w:val="both"/>
      </w:pPr>
      <w:r>
        <w:rPr>
          <w:rFonts w:ascii="Verdana" w:cs="Times New Roman" w:eastAsia="Times New Roman" w:hAnsi="Verdana"/>
          <w:color w:val="272923"/>
          <w:sz w:val="24"/>
          <w:szCs w:val="24"/>
          <w:lang w:eastAsia="es-ES"/>
        </w:rPr>
        <w:t>b) Recuperación profesional.</w:t>
      </w:r>
    </w:p>
    <w:p>
      <w:pPr>
        <w:pStyle w:val="style0"/>
        <w:spacing w:after="28" w:before="28" w:line="100" w:lineRule="atLeast"/>
        <w:jc w:val="both"/>
      </w:pPr>
      <w:r>
        <w:rPr>
          <w:rFonts w:ascii="Verdana" w:cs="Times New Roman" w:eastAsia="Times New Roman" w:hAnsi="Verdana"/>
          <w:color w:val="272923"/>
          <w:sz w:val="24"/>
          <w:szCs w:val="24"/>
          <w:lang w:eastAsia="es-ES"/>
        </w:rPr>
        <w:t>c) Subsidio por incapacidad temporal.</w:t>
      </w:r>
    </w:p>
    <w:p>
      <w:pPr>
        <w:pStyle w:val="style0"/>
        <w:spacing w:after="28" w:before="28" w:line="100" w:lineRule="atLeast"/>
        <w:jc w:val="both"/>
      </w:pPr>
      <w:r>
        <w:rPr>
          <w:rFonts w:ascii="Verdana" w:cs="Times New Roman" w:eastAsia="Times New Roman" w:hAnsi="Verdana"/>
          <w:color w:val="272923"/>
          <w:sz w:val="24"/>
          <w:szCs w:val="24"/>
          <w:lang w:eastAsia="es-ES"/>
        </w:rPr>
        <w:t>d) Prestaciones por incapacidad permanente.</w:t>
      </w:r>
    </w:p>
    <w:p>
      <w:pPr>
        <w:pStyle w:val="style0"/>
        <w:spacing w:after="28" w:before="28" w:line="100" w:lineRule="atLeast"/>
        <w:jc w:val="both"/>
      </w:pPr>
      <w:r>
        <w:rPr>
          <w:rFonts w:ascii="Verdana" w:cs="Times New Roman" w:eastAsia="Times New Roman" w:hAnsi="Verdana"/>
          <w:color w:val="272923"/>
          <w:sz w:val="24"/>
          <w:szCs w:val="24"/>
          <w:lang w:eastAsia="es-ES"/>
        </w:rPr>
        <w:t>e) Prestaciones por muerte y supervivencia.</w:t>
      </w:r>
    </w:p>
    <w:p>
      <w:pPr>
        <w:pStyle w:val="style0"/>
        <w:spacing w:after="28" w:before="28" w:line="100" w:lineRule="atLeast"/>
        <w:jc w:val="both"/>
      </w:pPr>
      <w:r>
        <w:rPr>
          <w:rFonts w:ascii="Verdana" w:cs="Times New Roman" w:eastAsia="Times New Roman" w:hAnsi="Verdana"/>
          <w:color w:val="272923"/>
          <w:sz w:val="24"/>
          <w:szCs w:val="24"/>
          <w:lang w:eastAsia="es-ES"/>
        </w:rPr>
        <w:t>f) Indemnizaciones a tanto alzado por lesiones permanentes no invalidantes, derivadas de accidente de trabajo o de enfermedad profesional.</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2. No será de aplicación a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el recargo de las prestaciones económicas en caso de accidente de trabajo y enfermedad profesional por falta de medidas de prevención de riesgos laborales, a que se refiere el art. 123 de la Ley General de la Seguridad Social.</w:t>
      </w:r>
    </w:p>
    <w:p>
      <w:pPr>
        <w:pStyle w:val="style0"/>
        <w:spacing w:after="28" w:before="28" w:line="100" w:lineRule="atLeast"/>
        <w:jc w:val="both"/>
      </w:pPr>
      <w:bookmarkStart w:id="7" w:name="LOC_ART.4"/>
      <w:bookmarkStart w:id="8" w:name="SE4"/>
      <w:bookmarkEnd w:id="7"/>
      <w:bookmarkEnd w:id="8"/>
      <w:r>
        <w:rPr>
          <w:rFonts w:ascii="Verdana" w:cs="Times New Roman" w:eastAsia="Times New Roman" w:hAnsi="Verdana"/>
          <w:b/>
          <w:bCs/>
          <w:caps/>
          <w:color w:val="0087AD"/>
          <w:sz w:val="24"/>
          <w:szCs w:val="24"/>
          <w:lang w:eastAsia="es-ES"/>
        </w:rPr>
        <w:t>Artículo 4.  </w:t>
      </w:r>
      <w:r>
        <w:rPr>
          <w:rFonts w:ascii="Verdana" w:cs="Times New Roman" w:eastAsia="Times New Roman" w:hAnsi="Verdana"/>
          <w:color w:val="0087AD"/>
          <w:sz w:val="24"/>
          <w:szCs w:val="24"/>
          <w:lang w:eastAsia="es-ES"/>
        </w:rPr>
        <w:t xml:space="preserve">  Condiciones de acceso a las prestaciones </w:t>
      </w:r>
    </w:p>
    <w:p>
      <w:pPr>
        <w:pStyle w:val="style0"/>
        <w:spacing w:after="28" w:before="28" w:line="100" w:lineRule="atLeast"/>
        <w:jc w:val="both"/>
      </w:pPr>
      <w:r>
        <w:rPr>
          <w:rFonts w:ascii="Verdana" w:cs="Times New Roman" w:eastAsia="Times New Roman" w:hAnsi="Verdana"/>
          <w:color w:val="272923"/>
          <w:sz w:val="24"/>
          <w:szCs w:val="24"/>
          <w:lang w:eastAsia="es-ES"/>
        </w:rPr>
        <w:t>1. Será requisito imprescindible para el reconocimiento y abono de las prestaciones económicas, derivadas de contingencias profesionales, que se hayan cumplido las obligaciones en materia de afiliación y alta en este Régimen Especial.</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2. No obstante lo indicado en el apartado anterior, cuando el titular del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familiar haya incumplido las obligaciones de afiliación, alta o cotización del </w:t>
      </w:r>
      <w:r>
        <w:rPr>
          <w:rFonts w:ascii="Verdana" w:cs="Times New Roman" w:eastAsia="Times New Roman" w:hAnsi="Verdana"/>
          <w:color w:val="FF0B0B"/>
          <w:sz w:val="24"/>
          <w:szCs w:val="24"/>
          <w:lang w:eastAsia="es-ES"/>
        </w:rPr>
        <w:t>empleado</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 se reconocerán las prestaciones económicas derivadas de contingencias profesionales que le correspondan a éste, con independencia de la exigencia de responsabilidad al titular del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familiar en cuanto al pago de la cotización y de las sanciones que se deriven en virtud de lo establecido en la Ley sobre Infracciones y Sanciones en el Orden Social, texto refundido aprobado por el Real Decreto Legislativo 5/2000, de 4 de agosto.</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3. El incumplimiento de las obligaciones en materia de afiliación y/o alta en el Régimen Especial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 si el obligado a solicitarlas es el propio trabajador, impedirá el acceso a las prestaciones.</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No obstante, si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ha cumplido tales obligaciones pero no se halla al corriente en el pago de las cuotas a la Seguridad Social, será de aplicación el mecanismo de invitación al pago previsto en el art. 28.2 del Decreto 2530/1970, de 20 de agosto, por el que se regula el Régimen Especial de la Seguridad Social de los trabajadores por cuenta propia o autónomos.</w:t>
      </w:r>
    </w:p>
    <w:p>
      <w:pPr>
        <w:pStyle w:val="style0"/>
        <w:spacing w:after="28" w:before="28" w:line="100" w:lineRule="atLeast"/>
        <w:jc w:val="both"/>
      </w:pPr>
      <w:bookmarkStart w:id="9" w:name="LOC_ART.5"/>
      <w:bookmarkStart w:id="10" w:name="SE5"/>
      <w:bookmarkEnd w:id="9"/>
      <w:bookmarkEnd w:id="10"/>
      <w:r>
        <w:rPr>
          <w:rFonts w:ascii="Verdana" w:cs="Times New Roman" w:eastAsia="Times New Roman" w:hAnsi="Verdana"/>
          <w:b/>
          <w:bCs/>
          <w:caps/>
          <w:color w:val="0087AD"/>
          <w:sz w:val="24"/>
          <w:szCs w:val="24"/>
          <w:lang w:eastAsia="es-ES"/>
        </w:rPr>
        <w:t>Artículo 5.  </w:t>
      </w:r>
      <w:r>
        <w:rPr>
          <w:rFonts w:ascii="Verdana" w:cs="Times New Roman" w:eastAsia="Times New Roman" w:hAnsi="Verdana"/>
          <w:color w:val="0087AD"/>
          <w:sz w:val="24"/>
          <w:szCs w:val="24"/>
          <w:lang w:eastAsia="es-ES"/>
        </w:rPr>
        <w:t xml:space="preserve">  Subsidio por incapacidad temporal </w:t>
      </w:r>
    </w:p>
    <w:p>
      <w:pPr>
        <w:pStyle w:val="style0"/>
        <w:spacing w:after="28" w:before="28" w:line="100" w:lineRule="atLeast"/>
        <w:jc w:val="both"/>
      </w:pPr>
      <w:r>
        <w:rPr>
          <w:rFonts w:ascii="Verdana" w:cs="Times New Roman" w:eastAsia="Times New Roman" w:hAnsi="Verdana"/>
          <w:color w:val="272923"/>
          <w:sz w:val="24"/>
          <w:szCs w:val="24"/>
          <w:lang w:eastAsia="es-ES"/>
        </w:rPr>
        <w:t>1. La prestación económica por incapacidad temporal derivada de contingencias profesionales, se regirá por lo previsto en este artículo y, en lo no regulado en él, por lo establecido en el Régimen General.</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2. El subsidio por incapacidad temporal, en los casos de accidente de trabajo o enfermedad profesional, se abonará a partir del noveno día de la baja en el trabajo, estando a cargo del </w:t>
      </w:r>
      <w:r>
        <w:rPr>
          <w:rFonts w:ascii="Verdana" w:cs="Times New Roman" w:eastAsia="Times New Roman" w:hAnsi="Verdana"/>
          <w:color w:val="FF0B0B"/>
          <w:sz w:val="24"/>
          <w:szCs w:val="24"/>
          <w:lang w:eastAsia="es-ES"/>
        </w:rPr>
        <w:t>empleador</w:t>
      </w:r>
      <w:r>
        <w:rPr>
          <w:rFonts w:ascii="Verdana" w:cs="Times New Roman" w:eastAsia="Times New Roman" w:hAnsi="Verdana"/>
          <w:color w:val="272923"/>
          <w:sz w:val="24"/>
          <w:szCs w:val="24"/>
          <w:lang w:eastAsia="es-ES"/>
        </w:rPr>
        <w:t xml:space="preserve"> el abono de la prestación al trabajador desde los días cuarto al octavo de la citada baja, ambos inclusive.</w:t>
      </w:r>
    </w:p>
    <w:p>
      <w:pPr>
        <w:pStyle w:val="style0"/>
        <w:spacing w:after="28" w:before="28" w:line="100" w:lineRule="atLeast"/>
        <w:jc w:val="both"/>
      </w:pPr>
      <w:r>
        <w:rPr>
          <w:rFonts w:ascii="Verdana" w:cs="Times New Roman" w:eastAsia="Times New Roman" w:hAnsi="Verdana"/>
          <w:color w:val="272923"/>
          <w:sz w:val="24"/>
          <w:szCs w:val="24"/>
          <w:lang w:eastAsia="es-ES"/>
        </w:rPr>
        <w:t>3. La cuantía diaria del subsidio será el resultado de aplicar el 75 por 100 a la correspondiente base reguladora.</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La base reguladora de la prestación estará constituida por la base de cotización del </w:t>
      </w:r>
      <w:r>
        <w:rPr>
          <w:rFonts w:ascii="Verdana" w:cs="Times New Roman" w:eastAsia="Times New Roman" w:hAnsi="Verdana"/>
          <w:color w:val="FF0B0B"/>
          <w:sz w:val="24"/>
          <w:szCs w:val="24"/>
          <w:lang w:eastAsia="es-ES"/>
        </w:rPr>
        <w:t>empleado</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correspondiente al mes anterior al de la baja médica, dividida entre 30. Dicha base se mantendrá durante todo el proceso de incapacidad temporal, incluidas las correspondientes recaídas, salvo que se produzca un cambio en la base única de cotización, en cuyo caso se tendrá en cuenta esta última.</w:t>
      </w:r>
    </w:p>
    <w:p>
      <w:pPr>
        <w:pStyle w:val="style0"/>
        <w:spacing w:after="28" w:before="28" w:line="100" w:lineRule="atLeast"/>
        <w:jc w:val="both"/>
      </w:pPr>
      <w:r>
        <w:rPr>
          <w:rFonts w:ascii="Verdana" w:cs="Times New Roman" w:eastAsia="Times New Roman" w:hAnsi="Verdana"/>
          <w:color w:val="272923"/>
          <w:sz w:val="24"/>
          <w:szCs w:val="24"/>
          <w:lang w:eastAsia="es-ES"/>
        </w:rPr>
        <w:t>4. La gestión y el control de la prestación económica por incapacidad temporal derivada de contingencias profesionales se llevarán a cabo por la entidad gestora o, en su caso, la mutua de accidentes de trabajo y enfermedades profesionales de la Seguridad Social con la que se haya formalizado la cobertura de tales contingencias.</w:t>
      </w:r>
    </w:p>
    <w:p>
      <w:pPr>
        <w:pStyle w:val="style0"/>
        <w:spacing w:after="28" w:before="28" w:line="100" w:lineRule="atLeast"/>
        <w:jc w:val="both"/>
      </w:pPr>
      <w:bookmarkStart w:id="11" w:name="LOC_ART.6"/>
      <w:bookmarkStart w:id="12" w:name="SE6"/>
      <w:bookmarkEnd w:id="11"/>
      <w:bookmarkEnd w:id="12"/>
      <w:r>
        <w:rPr>
          <w:rFonts w:ascii="Verdana" w:cs="Times New Roman" w:eastAsia="Times New Roman" w:hAnsi="Verdana"/>
          <w:b/>
          <w:bCs/>
          <w:caps/>
          <w:color w:val="0087AD"/>
          <w:sz w:val="24"/>
          <w:szCs w:val="24"/>
          <w:lang w:eastAsia="es-ES"/>
        </w:rPr>
        <w:t>Artículo 6.  </w:t>
      </w:r>
      <w:r>
        <w:rPr>
          <w:rFonts w:ascii="Verdana" w:cs="Times New Roman" w:eastAsia="Times New Roman" w:hAnsi="Verdana"/>
          <w:color w:val="0087AD"/>
          <w:sz w:val="24"/>
          <w:szCs w:val="24"/>
          <w:lang w:eastAsia="es-ES"/>
        </w:rPr>
        <w:t xml:space="preserve">  Subsidios por riesgo durante el embarazo y por riesgo durante la lactancia natural </w:t>
      </w:r>
    </w:p>
    <w:p>
      <w:pPr>
        <w:pStyle w:val="style0"/>
        <w:spacing w:after="28" w:before="28" w:line="100" w:lineRule="atLeast"/>
        <w:jc w:val="both"/>
      </w:pPr>
      <w:r>
        <w:rPr>
          <w:rFonts w:ascii="Verdana" w:cs="Times New Roman" w:eastAsia="Times New Roman" w:hAnsi="Verdana"/>
          <w:color w:val="272923"/>
          <w:sz w:val="24"/>
          <w:szCs w:val="24"/>
          <w:lang w:eastAsia="es-ES"/>
        </w:rPr>
        <w:t>Los subsidios por riesgo durante el embarazo y por riesgo durante la lactancia natural se regirán por lo dispuesto en el Real Decreto 295/2009, de 6 de marzo, por el que se regulan las prestaciones económicas del sistema de la Seguridad Social por maternidad, paternidad, riesgo durante el embarazo y riesgo durante la lactancia natural</w:t>
      </w:r>
      <w:hyperlink r:id="rId3">
        <w:r>
          <w:rPr>
            <w:rStyle w:val="style16"/>
            <w:rFonts w:ascii="Verdana" w:cs="Times New Roman" w:eastAsia="Times New Roman" w:hAnsi="Verdana"/>
            <w:color w:val="0000FF"/>
            <w:sz w:val="24"/>
            <w:szCs w:val="24"/>
            <w:u w:val="single"/>
            <w:lang w:eastAsia="es-ES"/>
          </w:rPr>
          <w:t xml:space="preserve"> EDL 2009/18505 </w:t>
        </w:r>
      </w:hyperlink>
      <w:r>
        <w:rPr>
          <w:rFonts w:ascii="Verdana" w:cs="Times New Roman" w:eastAsia="Times New Roman" w:hAnsi="Verdana"/>
          <w:color w:val="272923"/>
          <w:sz w:val="24"/>
          <w:szCs w:val="24"/>
          <w:lang w:eastAsia="es-ES"/>
        </w:rPr>
        <w:t>.</w:t>
      </w:r>
    </w:p>
    <w:p>
      <w:pPr>
        <w:pStyle w:val="style0"/>
        <w:spacing w:after="28" w:before="28" w:line="100" w:lineRule="atLeast"/>
        <w:jc w:val="both"/>
      </w:pPr>
      <w:bookmarkStart w:id="13" w:name="LOC_ART.7"/>
      <w:bookmarkStart w:id="14" w:name="SE7"/>
      <w:bookmarkEnd w:id="13"/>
      <w:bookmarkEnd w:id="14"/>
      <w:r>
        <w:rPr>
          <w:rFonts w:ascii="Verdana" w:cs="Times New Roman" w:eastAsia="Times New Roman" w:hAnsi="Verdana"/>
          <w:b/>
          <w:bCs/>
          <w:caps/>
          <w:color w:val="0087AD"/>
          <w:sz w:val="24"/>
          <w:szCs w:val="24"/>
          <w:lang w:eastAsia="es-ES"/>
        </w:rPr>
        <w:t>Artículo 7.  </w:t>
      </w:r>
      <w:r>
        <w:rPr>
          <w:rFonts w:ascii="Verdana" w:cs="Times New Roman" w:eastAsia="Times New Roman" w:hAnsi="Verdana"/>
          <w:color w:val="0087AD"/>
          <w:sz w:val="24"/>
          <w:szCs w:val="24"/>
          <w:lang w:eastAsia="es-ES"/>
        </w:rPr>
        <w:t xml:space="preserve">  Prestaciones por incapacidad permanente, indemnizaciones por lesiones permanentes no invalidantes y prestaciones por muerte y supervivencia </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La base reguladora de las prestaciones de incapacidad permanente y de muerte y supervivencia, derivadas de contingencias profesionales, será equivalente a la base de cotización del </w:t>
      </w:r>
      <w:r>
        <w:rPr>
          <w:rFonts w:ascii="Verdana" w:cs="Times New Roman" w:eastAsia="Times New Roman" w:hAnsi="Verdana"/>
          <w:color w:val="FF0B0B"/>
          <w:sz w:val="24"/>
          <w:szCs w:val="24"/>
          <w:lang w:eastAsia="es-ES"/>
        </w:rPr>
        <w:t>empleado</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en la fecha del hecho causante de la prestación.</w:t>
      </w:r>
    </w:p>
    <w:p>
      <w:pPr>
        <w:pStyle w:val="style0"/>
        <w:spacing w:after="28" w:before="28" w:line="100" w:lineRule="atLeast"/>
        <w:jc w:val="both"/>
      </w:pPr>
      <w:r>
        <w:rPr>
          <w:rFonts w:ascii="Verdana" w:cs="Times New Roman" w:eastAsia="Times New Roman" w:hAnsi="Verdana"/>
          <w:color w:val="272923"/>
          <w:sz w:val="24"/>
          <w:szCs w:val="24"/>
          <w:lang w:eastAsia="es-ES"/>
        </w:rPr>
        <w:t>Respecto de las prestaciones de incapacidad permanente e indemnizaciones por lesiones permanentes no invalidantes, se estará a lo dispuesto en el Real Decreto 1300/1995, de 21 de julio, por el que se desarrolla, en materia de incapacidades laborales del sistema de la Seguridad Social, la Ley 42/1994, de 30 de diciembre, de medidas fiscales, administrativas y de orden social, y en sus normas de aplicación y desarrollo.</w:t>
      </w:r>
    </w:p>
    <w:p>
      <w:pPr>
        <w:pStyle w:val="style0"/>
        <w:spacing w:after="28" w:before="28" w:line="100" w:lineRule="atLeast"/>
        <w:jc w:val="both"/>
      </w:pPr>
      <w:bookmarkStart w:id="15" w:name="LOC_ART.8"/>
      <w:bookmarkStart w:id="16" w:name="SE8"/>
      <w:bookmarkEnd w:id="15"/>
      <w:bookmarkEnd w:id="16"/>
      <w:r>
        <w:rPr>
          <w:rFonts w:ascii="Verdana" w:cs="Times New Roman" w:eastAsia="Times New Roman" w:hAnsi="Verdana"/>
          <w:b/>
          <w:bCs/>
          <w:caps/>
          <w:color w:val="0087AD"/>
          <w:sz w:val="24"/>
          <w:szCs w:val="24"/>
          <w:lang w:eastAsia="es-ES"/>
        </w:rPr>
        <w:t>Artículo 8.  </w:t>
      </w:r>
      <w:r>
        <w:rPr>
          <w:rFonts w:ascii="Verdana" w:cs="Times New Roman" w:eastAsia="Times New Roman" w:hAnsi="Verdana"/>
          <w:color w:val="0087AD"/>
          <w:sz w:val="24"/>
          <w:szCs w:val="24"/>
          <w:lang w:eastAsia="es-ES"/>
        </w:rPr>
        <w:t xml:space="preserve">  Reconocimiento del derecho y pago </w:t>
      </w:r>
    </w:p>
    <w:p>
      <w:pPr>
        <w:pStyle w:val="style0"/>
        <w:spacing w:after="28" w:before="28" w:line="100" w:lineRule="atLeast"/>
        <w:jc w:val="both"/>
      </w:pPr>
      <w:r>
        <w:rPr>
          <w:rFonts w:ascii="Verdana" w:cs="Times New Roman" w:eastAsia="Times New Roman" w:hAnsi="Verdana"/>
          <w:color w:val="272923"/>
          <w:sz w:val="24"/>
          <w:szCs w:val="24"/>
          <w:lang w:eastAsia="es-ES"/>
        </w:rPr>
        <w:t>El reconocimiento del derecho y el pago de las prestaciones derivadas de contingencias profesionales se llevarán a cabo, en iguales términos y en las mismas situaciones que en el Régimen General de la Seguridad Social, por la entidad gestora o, en su caso, la mutua de accidentes de trabajo y enfermedades profesionales de la Seguridad Social con la que se haya formalizado la cobertura de tales contingencias.</w:t>
      </w:r>
    </w:p>
    <w:p>
      <w:pPr>
        <w:pStyle w:val="style0"/>
        <w:spacing w:after="28" w:before="28" w:line="100" w:lineRule="atLeast"/>
        <w:jc w:val="both"/>
      </w:pPr>
      <w:r>
        <w:rPr>
          <w:rFonts w:ascii="Verdana" w:cs="Times New Roman" w:eastAsia="Times New Roman" w:hAnsi="Verdana"/>
          <w:color w:val="272923"/>
          <w:sz w:val="24"/>
          <w:szCs w:val="24"/>
          <w:lang w:eastAsia="es-ES"/>
        </w:rPr>
        <w:t>A tal efecto, cuando se trate de pensiones causadas por incapacidad permanente o muerte derivadas de accidente de trabajo o enfermedad profesional, con cargo a una mutua, ésta procederá, en los términos establecidos en el art. 87.3 de la Ley General de la Seguridad Social, a la capitalización del importe de dichas pensiones, debiendo constituir en la Tesorería General de la Seguridad General, hasta el límite de su responsabilidad, los capitales coste correspondientes.</w:t>
      </w:r>
    </w:p>
    <w:p>
      <w:pPr>
        <w:pStyle w:val="style0"/>
        <w:spacing w:after="28" w:before="28" w:line="100" w:lineRule="atLeast"/>
        <w:jc w:val="both"/>
      </w:pPr>
      <w:bookmarkStart w:id="17" w:name="LOC_TDT"/>
      <w:bookmarkStart w:id="18" w:name="SE9"/>
      <w:bookmarkEnd w:id="17"/>
      <w:bookmarkEnd w:id="18"/>
      <w:r>
        <w:rPr>
          <w:rFonts w:ascii="Verdana" w:cs="Times New Roman" w:eastAsia="Times New Roman" w:hAnsi="Verdana"/>
          <w:b/>
          <w:bCs/>
          <w:color w:val="0087AD"/>
          <w:sz w:val="21"/>
          <w:lang w:eastAsia="es-ES"/>
        </w:rPr>
        <w:t>DISPOSICIÓN TRANSITORIA </w:t>
      </w:r>
      <w:r>
        <w:rPr>
          <w:rFonts w:ascii="Verdana" w:cs="Times New Roman" w:eastAsia="Times New Roman" w:hAnsi="Verdana"/>
          <w:color w:val="0087AD"/>
          <w:sz w:val="24"/>
          <w:szCs w:val="24"/>
          <w:lang w:eastAsia="es-ES"/>
        </w:rPr>
        <w:t xml:space="preserve"> </w:t>
      </w:r>
    </w:p>
    <w:p>
      <w:pPr>
        <w:pStyle w:val="style0"/>
        <w:spacing w:after="28" w:before="28" w:line="100" w:lineRule="atLeast"/>
        <w:jc w:val="both"/>
      </w:pPr>
      <w:bookmarkStart w:id="19" w:name="LOC_DTR.UN"/>
      <w:bookmarkStart w:id="20" w:name="SE10"/>
      <w:bookmarkEnd w:id="19"/>
      <w:bookmarkEnd w:id="20"/>
      <w:r>
        <w:rPr>
          <w:rFonts w:ascii="Verdana" w:cs="Times New Roman" w:eastAsia="Times New Roman" w:hAnsi="Verdana"/>
          <w:b/>
          <w:bCs/>
          <w:color w:val="0087AD"/>
          <w:sz w:val="21"/>
          <w:lang w:eastAsia="es-ES"/>
        </w:rPr>
        <w:t>Disposición Transitoria Única.  </w:t>
      </w:r>
      <w:r>
        <w:rPr>
          <w:rFonts w:ascii="Verdana" w:cs="Times New Roman" w:eastAsia="Times New Roman" w:hAnsi="Verdana"/>
          <w:color w:val="0087AD"/>
          <w:sz w:val="24"/>
          <w:szCs w:val="24"/>
          <w:lang w:eastAsia="es-ES"/>
        </w:rPr>
        <w:t xml:space="preserve">  Elección de entidad para la cobertura de las contingencias profesionales </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Los titulares del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familiar que, a la entrada en vigor de este real decreto, tuviesen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en alta, o los propios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de carácter discontinuo que estuvieran en alta en ese momento, deberán elegir la entidad gestora o colaboradora con la que deseen formalizar la cobertura de las contingencias profesionales, en el plazo de los 30 días hábiles siguientes a partir de la entrada en vigor del mismo.</w:t>
      </w:r>
    </w:p>
    <w:p>
      <w:pPr>
        <w:pStyle w:val="style0"/>
        <w:spacing w:after="28" w:before="28" w:line="100" w:lineRule="atLeast"/>
        <w:jc w:val="both"/>
      </w:pPr>
      <w:r>
        <w:rPr>
          <w:rFonts w:ascii="Verdana" w:cs="Times New Roman" w:eastAsia="Times New Roman" w:hAnsi="Verdana"/>
          <w:color w:val="272923"/>
          <w:sz w:val="24"/>
          <w:szCs w:val="24"/>
          <w:lang w:eastAsia="es-ES"/>
        </w:rPr>
        <w:t>De no efectuarse tal elección en el plazo señalado, la cobertura corresponderá a la entidad gestora de la Seguridad Social, formalizándose de oficio por la Tesorería General de la Seguridad Social.</w:t>
      </w:r>
    </w:p>
    <w:p>
      <w:pPr>
        <w:pStyle w:val="style0"/>
        <w:spacing w:after="28" w:before="28" w:line="100" w:lineRule="atLeast"/>
        <w:jc w:val="both"/>
      </w:pPr>
      <w:bookmarkStart w:id="21" w:name="LOC_TDD"/>
      <w:bookmarkStart w:id="22" w:name="SE11"/>
      <w:bookmarkEnd w:id="21"/>
      <w:bookmarkEnd w:id="22"/>
      <w:r>
        <w:rPr>
          <w:rFonts w:ascii="Verdana" w:cs="Times New Roman" w:eastAsia="Times New Roman" w:hAnsi="Verdana"/>
          <w:b/>
          <w:bCs/>
          <w:color w:val="0087AD"/>
          <w:sz w:val="21"/>
          <w:lang w:eastAsia="es-ES"/>
        </w:rPr>
        <w:t>DISPOSICIÓN DEROGATORIA </w:t>
      </w:r>
      <w:r>
        <w:rPr>
          <w:rFonts w:ascii="Verdana" w:cs="Times New Roman" w:eastAsia="Times New Roman" w:hAnsi="Verdana"/>
          <w:color w:val="0087AD"/>
          <w:sz w:val="24"/>
          <w:szCs w:val="24"/>
          <w:lang w:eastAsia="es-ES"/>
        </w:rPr>
        <w:t xml:space="preserve"> </w:t>
      </w:r>
    </w:p>
    <w:p>
      <w:pPr>
        <w:pStyle w:val="style0"/>
        <w:spacing w:after="28" w:before="28" w:line="100" w:lineRule="atLeast"/>
        <w:jc w:val="both"/>
      </w:pPr>
      <w:bookmarkStart w:id="23" w:name="LOC_DDE.UN"/>
      <w:bookmarkStart w:id="24" w:name="SE12"/>
      <w:bookmarkEnd w:id="23"/>
      <w:bookmarkEnd w:id="24"/>
      <w:r>
        <w:rPr>
          <w:rFonts w:ascii="Verdana" w:cs="Times New Roman" w:eastAsia="Times New Roman" w:hAnsi="Verdana"/>
          <w:b/>
          <w:bCs/>
          <w:color w:val="0087AD"/>
          <w:sz w:val="21"/>
          <w:lang w:eastAsia="es-ES"/>
        </w:rPr>
        <w:t>Disposición Derogatoria Única.  </w:t>
      </w:r>
      <w:r>
        <w:rPr>
          <w:rFonts w:ascii="Verdana" w:cs="Times New Roman" w:eastAsia="Times New Roman" w:hAnsi="Verdana"/>
          <w:color w:val="0087AD"/>
          <w:sz w:val="24"/>
          <w:szCs w:val="24"/>
          <w:lang w:eastAsia="es-ES"/>
        </w:rPr>
        <w:t xml:space="preserve">  Derogación normativa </w:t>
      </w:r>
    </w:p>
    <w:p>
      <w:pPr>
        <w:pStyle w:val="style0"/>
        <w:spacing w:after="28" w:before="28" w:line="100" w:lineRule="atLeast"/>
        <w:jc w:val="both"/>
      </w:pPr>
      <w:r>
        <w:rPr>
          <w:rFonts w:ascii="Verdana" w:cs="Times New Roman" w:eastAsia="Times New Roman" w:hAnsi="Verdana"/>
          <w:color w:val="272923"/>
          <w:sz w:val="24"/>
          <w:szCs w:val="24"/>
          <w:lang w:eastAsia="es-ES"/>
        </w:rPr>
        <w:t xml:space="preserve">Quedan derogadas cuantas disposiciones de igual o inferior rango se opongan a lo establecido en este real decreto y, expresamente, el apartado 3 del art. 22 y el apartado 2 del art. 33 del Decreto 2346/1969, de 25 de septiembre, por el que se regula el Régimen Especial de la Seguridad Social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272923"/>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272923"/>
          <w:sz w:val="24"/>
          <w:szCs w:val="24"/>
          <w:lang w:eastAsia="es-ES"/>
        </w:rPr>
        <w:t xml:space="preserve"> </w:t>
      </w:r>
      <w:hyperlink r:id="rId4">
        <w:r>
          <w:rPr>
            <w:rStyle w:val="style16"/>
            <w:rFonts w:ascii="Verdana" w:cs="Times New Roman" w:eastAsia="Times New Roman" w:hAnsi="Verdana"/>
            <w:color w:val="0000FF"/>
            <w:sz w:val="24"/>
            <w:szCs w:val="24"/>
            <w:u w:val="single"/>
            <w:lang w:eastAsia="es-ES"/>
          </w:rPr>
          <w:t>EDL 1969/1678</w:t>
        </w:r>
      </w:hyperlink>
      <w:r>
        <w:rPr>
          <w:rFonts w:ascii="Verdana" w:cs="Times New Roman" w:eastAsia="Times New Roman" w:hAnsi="Verdana"/>
          <w:color w:val="272923"/>
          <w:sz w:val="24"/>
          <w:szCs w:val="24"/>
          <w:lang w:eastAsia="es-ES"/>
        </w:rPr>
        <w:t>.</w:t>
      </w:r>
    </w:p>
    <w:p>
      <w:pPr>
        <w:pStyle w:val="style0"/>
        <w:spacing w:after="28" w:before="28" w:line="100" w:lineRule="atLeast"/>
        <w:jc w:val="both"/>
      </w:pPr>
      <w:bookmarkStart w:id="25" w:name="LOC_TDF"/>
      <w:bookmarkStart w:id="26" w:name="SE13"/>
      <w:bookmarkEnd w:id="25"/>
      <w:bookmarkEnd w:id="26"/>
      <w:r>
        <w:rPr>
          <w:rFonts w:ascii="Verdana" w:cs="Times New Roman" w:eastAsia="Times New Roman" w:hAnsi="Verdana"/>
          <w:b/>
          <w:bCs/>
          <w:color w:val="0087AD"/>
          <w:sz w:val="21"/>
          <w:lang w:eastAsia="es-ES"/>
        </w:rPr>
        <w:t>DISPOSICIONES FINALES </w:t>
      </w:r>
      <w:r>
        <w:rPr>
          <w:rFonts w:ascii="Verdana" w:cs="Times New Roman" w:eastAsia="Times New Roman" w:hAnsi="Verdana"/>
          <w:color w:val="0087AD"/>
          <w:sz w:val="24"/>
          <w:szCs w:val="24"/>
          <w:lang w:eastAsia="es-ES"/>
        </w:rPr>
        <w:t xml:space="preserve"> </w:t>
      </w:r>
    </w:p>
    <w:p>
      <w:pPr>
        <w:pStyle w:val="style0"/>
        <w:spacing w:after="28" w:before="28" w:line="100" w:lineRule="atLeast"/>
        <w:jc w:val="both"/>
      </w:pPr>
      <w:bookmarkStart w:id="27" w:name="LOC_DFI.1"/>
      <w:bookmarkStart w:id="28" w:name="SE14"/>
      <w:bookmarkEnd w:id="27"/>
      <w:bookmarkEnd w:id="28"/>
      <w:r>
        <w:rPr>
          <w:rFonts w:ascii="Verdana" w:cs="Times New Roman" w:eastAsia="Times New Roman" w:hAnsi="Verdana"/>
          <w:b/>
          <w:bCs/>
          <w:color w:val="0087AD"/>
          <w:sz w:val="21"/>
          <w:lang w:eastAsia="es-ES"/>
        </w:rPr>
        <w:t>Disposición Final Primera.  </w:t>
      </w:r>
      <w:r>
        <w:rPr>
          <w:rFonts w:ascii="Verdana" w:cs="Times New Roman" w:eastAsia="Times New Roman" w:hAnsi="Verdana"/>
          <w:color w:val="0087AD"/>
          <w:sz w:val="24"/>
          <w:szCs w:val="24"/>
          <w:lang w:eastAsia="es-ES"/>
        </w:rPr>
        <w:t xml:space="preserve">  Título competencial </w:t>
      </w:r>
    </w:p>
    <w:p>
      <w:pPr>
        <w:pStyle w:val="style0"/>
        <w:spacing w:after="28" w:before="28" w:line="100" w:lineRule="atLeast"/>
        <w:jc w:val="both"/>
      </w:pPr>
      <w:r>
        <w:rPr>
          <w:rFonts w:ascii="Verdana" w:cs="Times New Roman" w:eastAsia="Times New Roman" w:hAnsi="Verdana"/>
          <w:color w:val="272923"/>
          <w:sz w:val="24"/>
          <w:szCs w:val="24"/>
          <w:lang w:eastAsia="es-ES"/>
        </w:rPr>
        <w:t>Este Real Decreto se dicta al amparo de la competencia exclusiva en materia de régimen económico de la Seguridad Social atribuida al Estado por el art. 149.1.17ª de la Constitución.</w:t>
      </w:r>
    </w:p>
    <w:p>
      <w:pPr>
        <w:pStyle w:val="style0"/>
        <w:spacing w:after="28" w:before="28" w:line="100" w:lineRule="atLeast"/>
        <w:jc w:val="both"/>
      </w:pPr>
      <w:bookmarkStart w:id="29" w:name="LOC_DFI.2"/>
      <w:bookmarkStart w:id="30" w:name="SE15"/>
      <w:bookmarkEnd w:id="29"/>
      <w:bookmarkEnd w:id="30"/>
      <w:r>
        <w:rPr>
          <w:rFonts w:ascii="Verdana" w:cs="Times New Roman" w:eastAsia="Times New Roman" w:hAnsi="Verdana"/>
          <w:b/>
          <w:bCs/>
          <w:color w:val="0087AD"/>
          <w:sz w:val="21"/>
          <w:lang w:eastAsia="es-ES"/>
        </w:rPr>
        <w:t>Disposición Final Segunda.  </w:t>
      </w:r>
      <w:r>
        <w:rPr>
          <w:rFonts w:ascii="Verdana" w:cs="Times New Roman" w:eastAsia="Times New Roman" w:hAnsi="Verdana"/>
          <w:color w:val="0087AD"/>
          <w:sz w:val="24"/>
          <w:szCs w:val="24"/>
          <w:lang w:eastAsia="es-ES"/>
        </w:rPr>
        <w:t xml:space="preserve">  Modificación del Reglamento general sobre inscripción de empresas y afiliación, altas, bajas y variaciones de datos de trabajadores en la Seguridad Social, aprobado por el Real Decreto 84/1996, de 26 de enero </w:t>
      </w:r>
    </w:p>
    <w:p>
      <w:pPr>
        <w:pStyle w:val="style0"/>
        <w:spacing w:after="28" w:before="28" w:line="100" w:lineRule="atLeast"/>
        <w:jc w:val="both"/>
      </w:pPr>
      <w:r>
        <w:rPr>
          <w:rFonts w:ascii="Verdana" w:cs="Times New Roman" w:eastAsia="Times New Roman" w:hAnsi="Verdana"/>
          <w:color w:val="272923"/>
          <w:sz w:val="24"/>
          <w:szCs w:val="24"/>
          <w:lang w:eastAsia="es-ES"/>
        </w:rPr>
        <w:t>Los apartados 1 y 2 del art. 49 del Reglamento general sobre inscripción de empresas y afiliación, altas, bajas y variaciones de datos de trabajadores en la Seguridad Social, aprobado por el Real Decreto 84/1996, de 26 de enero</w:t>
      </w:r>
      <w:hyperlink r:id="rId5">
        <w:r>
          <w:rPr>
            <w:rStyle w:val="style16"/>
            <w:rFonts w:ascii="Verdana" w:cs="Times New Roman" w:eastAsia="Times New Roman" w:hAnsi="Verdana"/>
            <w:color w:val="0000FF"/>
            <w:sz w:val="24"/>
            <w:szCs w:val="24"/>
            <w:u w:val="single"/>
            <w:lang w:eastAsia="es-ES"/>
          </w:rPr>
          <w:t xml:space="preserve"> EDL 1996/13910</w:t>
        </w:r>
      </w:hyperlink>
      <w:r>
        <w:rPr>
          <w:rFonts w:ascii="Verdana" w:cs="Times New Roman" w:eastAsia="Times New Roman" w:hAnsi="Verdana"/>
          <w:color w:val="272923"/>
          <w:sz w:val="24"/>
          <w:szCs w:val="24"/>
          <w:lang w:eastAsia="es-ES"/>
        </w:rPr>
        <w:t>, quedan redactados en los siguientes términos:</w:t>
      </w:r>
    </w:p>
    <w:p>
      <w:pPr>
        <w:pStyle w:val="style0"/>
        <w:spacing w:after="28" w:before="28" w:line="100" w:lineRule="atLeast"/>
        <w:jc w:val="both"/>
      </w:pPr>
      <w:bookmarkStart w:id="31" w:name="LOC_DFI.2#COR.1"/>
      <w:bookmarkStart w:id="32" w:name="LOC_DFI.2.COR.1"/>
      <w:bookmarkEnd w:id="31"/>
      <w:bookmarkEnd w:id="32"/>
      <w:r>
        <w:rPr>
          <w:rFonts w:ascii="Verdana" w:cs="Times New Roman" w:eastAsia="Times New Roman" w:hAnsi="Verdana"/>
          <w:color w:val="008000"/>
          <w:sz w:val="24"/>
          <w:szCs w:val="24"/>
          <w:lang w:eastAsia="es-ES"/>
        </w:rPr>
        <w:t xml:space="preserve">1. En el momento de solicitar su inscripción como empresarios, los cabezas de familia o titulares del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familiar que tengan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a su servicio de manera exclusiva y permanente deberán hacer constar la entidad gestora o colaboradora por la que optan para la protección de las contingencias de accidentes de trabajo y enfermedades profesionales respecto de aquéllos.</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2. El obligado a solicitar la afiliación, el alta y la baja en el Régimen Especial de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será el propio trabajador al servicio del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familiar cuando preste sus servicios a uno o más cabezas de familia o titulares del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familiar a tiempo parcial, sea con carácter indefinido, tanto de forma fija periódica como fija discontinua, o sea de duración determinada en los supuestos previstos en el art. 15 del texto refundido de la Ley del Estatuto de los Trabajadores, aprobado por el Real Decreto legislativo 1/1995, de 24 de marzo.</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1º En este caso, además de la documentación establecida con carácter general,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deberá acompañar a su solicitud de afiliación o alta declaración de todos los cabezas de familia en la que cada uno de aquéllos haga constar el tiempo y demás condiciones de la prestación de servicios con carácter parcial o discontinuo.</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En la solicitud de alta deberá figurar, asimismo, la entidad gestora o colaboradora por la que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haya optado para la cobertura de las contingencias de accidentes de trabajo y enfermedades profesionales.</w:t>
      </w:r>
    </w:p>
    <w:p>
      <w:pPr>
        <w:pStyle w:val="style0"/>
        <w:spacing w:after="28" w:before="28" w:line="100" w:lineRule="atLeast"/>
        <w:jc w:val="both"/>
      </w:pPr>
      <w:r>
        <w:rPr>
          <w:rFonts w:ascii="Verdana" w:cs="Times New Roman" w:eastAsia="Times New Roman" w:hAnsi="Verdana"/>
          <w:color w:val="008000"/>
          <w:sz w:val="24"/>
          <w:szCs w:val="24"/>
          <w:lang w:eastAsia="es-ES"/>
        </w:rPr>
        <w:t>Estas solicitudes de afiliación y de alta así como la documentación que deba acompañarlas se presentarán dentro de los seis días naturales siguientes a la fecha de inicio de la actividad correspondiente.</w:t>
      </w:r>
    </w:p>
    <w:p>
      <w:pPr>
        <w:pStyle w:val="style0"/>
        <w:spacing w:after="28" w:before="28" w:line="100" w:lineRule="atLeast"/>
        <w:jc w:val="both"/>
      </w:pPr>
      <w:r>
        <w:rPr>
          <w:rFonts w:ascii="Verdana" w:cs="Times New Roman" w:eastAsia="Times New Roman" w:hAnsi="Verdana"/>
          <w:color w:val="008000"/>
          <w:sz w:val="24"/>
          <w:szCs w:val="24"/>
          <w:lang w:eastAsia="es-ES"/>
        </w:rPr>
        <w:t>2º A efectos de lo dispuesto en este reglamento, se considerarán servicios prestados a tiempo parcial los que se presten durante un tiempo inferior a ochenta horas de trabajo efectivo durante el mes, siempre que superen el mínimo que establezca al respecto el Ministro de Trabajo e Inmigración.</w:t>
      </w:r>
    </w:p>
    <w:p>
      <w:pPr>
        <w:pStyle w:val="style0"/>
        <w:spacing w:after="28" w:before="28" w:line="100" w:lineRule="atLeast"/>
        <w:jc w:val="both"/>
      </w:pPr>
      <w:bookmarkStart w:id="33" w:name="LOC_DFI.3"/>
      <w:bookmarkStart w:id="34" w:name="SE16"/>
      <w:bookmarkEnd w:id="33"/>
      <w:bookmarkEnd w:id="34"/>
      <w:r>
        <w:rPr>
          <w:rFonts w:ascii="Verdana" w:cs="Times New Roman" w:eastAsia="Times New Roman" w:hAnsi="Verdana"/>
          <w:b/>
          <w:bCs/>
          <w:color w:val="0087AD"/>
          <w:sz w:val="21"/>
          <w:lang w:eastAsia="es-ES"/>
        </w:rPr>
        <w:t>Disposición Final Tercera.  </w:t>
      </w:r>
      <w:r>
        <w:rPr>
          <w:rFonts w:ascii="Verdana" w:cs="Times New Roman" w:eastAsia="Times New Roman" w:hAnsi="Verdana"/>
          <w:color w:val="0087AD"/>
          <w:sz w:val="24"/>
          <w:szCs w:val="24"/>
          <w:lang w:eastAsia="es-ES"/>
        </w:rPr>
        <w:t xml:space="preserve">  Modificación del Reglamento general sobre cotización y liquidación de otros derechos de la Seguridad Social, aprobado por el Real Decreto 2064/1995, de 22 de diciembre </w:t>
      </w:r>
    </w:p>
    <w:p>
      <w:pPr>
        <w:pStyle w:val="style0"/>
        <w:spacing w:after="28" w:before="28" w:line="100" w:lineRule="atLeast"/>
        <w:jc w:val="both"/>
      </w:pPr>
      <w:r>
        <w:rPr>
          <w:rFonts w:ascii="Verdana" w:cs="Times New Roman" w:eastAsia="Times New Roman" w:hAnsi="Verdana"/>
          <w:color w:val="272923"/>
          <w:sz w:val="24"/>
          <w:szCs w:val="24"/>
          <w:lang w:eastAsia="es-ES"/>
        </w:rPr>
        <w:t>El Reglamento general sobre cotización y liquidación de otros derechos de la Seguridad Social, aprobado por el Real Decreto 2064/1995, de 22 de diciembre, se modifica en los siguientes términos:</w:t>
      </w:r>
    </w:p>
    <w:p>
      <w:pPr>
        <w:pStyle w:val="style0"/>
        <w:spacing w:after="28" w:before="28" w:line="100" w:lineRule="atLeast"/>
        <w:jc w:val="both"/>
      </w:pPr>
      <w:r>
        <w:rPr>
          <w:rFonts w:ascii="Verdana" w:cs="Times New Roman" w:eastAsia="Times New Roman" w:hAnsi="Verdana"/>
          <w:color w:val="272923"/>
          <w:sz w:val="24"/>
          <w:szCs w:val="24"/>
          <w:lang w:eastAsia="es-ES"/>
        </w:rPr>
        <w:t>Uno. El apartado 1 del art. 11</w:t>
      </w:r>
      <w:hyperlink r:id="rId6">
        <w:r>
          <w:rPr>
            <w:rStyle w:val="style16"/>
            <w:rFonts w:ascii="Verdana" w:cs="Times New Roman" w:eastAsia="Times New Roman" w:hAnsi="Verdana"/>
            <w:color w:val="0000FF"/>
            <w:sz w:val="24"/>
            <w:szCs w:val="24"/>
            <w:u w:val="single"/>
            <w:lang w:eastAsia="es-ES"/>
          </w:rPr>
          <w:t xml:space="preserve"> EDL 1995/16912 </w:t>
        </w:r>
      </w:hyperlink>
      <w:r>
        <w:rPr>
          <w:rFonts w:ascii="Verdana" w:cs="Times New Roman" w:eastAsia="Times New Roman" w:hAnsi="Verdana"/>
          <w:color w:val="272923"/>
          <w:sz w:val="24"/>
          <w:szCs w:val="24"/>
          <w:lang w:eastAsia="es-ES"/>
        </w:rPr>
        <w:t>queda redactado de la siguiente manera:</w:t>
      </w:r>
    </w:p>
    <w:p>
      <w:pPr>
        <w:pStyle w:val="style0"/>
        <w:spacing w:after="28" w:before="28" w:line="100" w:lineRule="atLeast"/>
        <w:jc w:val="both"/>
      </w:pPr>
      <w:bookmarkStart w:id="35" w:name="LOC_DFI.3#COR.2"/>
      <w:bookmarkStart w:id="36" w:name="LOC_DFI.3.COR.2"/>
      <w:bookmarkEnd w:id="35"/>
      <w:bookmarkEnd w:id="36"/>
      <w:r>
        <w:rPr>
          <w:rFonts w:ascii="Verdana" w:cs="Times New Roman" w:eastAsia="Times New Roman" w:hAnsi="Verdana"/>
          <w:color w:val="008000"/>
          <w:sz w:val="24"/>
          <w:szCs w:val="24"/>
          <w:lang w:eastAsia="es-ES"/>
        </w:rPr>
        <w:t xml:space="preserve">1. La cotización por accidentes de trabajo y enfermedades profesionales por parte de los empresarios, de los trabajadores por cuenta propia y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que presten sus servicios con carácter parcial o discontinuo a uno o más </w:t>
      </w:r>
      <w:r>
        <w:rPr>
          <w:rFonts w:ascii="Verdana" w:cs="Times New Roman" w:eastAsia="Times New Roman" w:hAnsi="Verdana"/>
          <w:color w:val="FF0B0B"/>
          <w:sz w:val="24"/>
          <w:szCs w:val="24"/>
          <w:lang w:eastAsia="es-ES"/>
        </w:rPr>
        <w:t>empleadores</w:t>
      </w:r>
      <w:r>
        <w:rPr>
          <w:rFonts w:ascii="Verdana" w:cs="Times New Roman" w:eastAsia="Times New Roman" w:hAnsi="Verdana"/>
          <w:color w:val="008000"/>
          <w:sz w:val="24"/>
          <w:szCs w:val="24"/>
          <w:lang w:eastAsia="es-ES"/>
        </w:rPr>
        <w:t xml:space="preserve"> , en los términos establecidos en este reglamento, se efectuará mediante la aplicación de los tipos de cotización que correspondan a las actividades económicas de empresas y trabajadores y a las ocupaciones o situaciones de estos últimos, conforme a la tarifa de primas vigente.</w:t>
      </w:r>
    </w:p>
    <w:p>
      <w:pPr>
        <w:pStyle w:val="style0"/>
        <w:spacing w:after="28" w:before="28" w:line="100" w:lineRule="atLeast"/>
        <w:jc w:val="both"/>
      </w:pPr>
      <w:r>
        <w:rPr>
          <w:rFonts w:ascii="Verdana" w:cs="Times New Roman" w:eastAsia="Times New Roman" w:hAnsi="Verdana"/>
          <w:color w:val="272923"/>
          <w:sz w:val="24"/>
          <w:szCs w:val="24"/>
          <w:lang w:eastAsia="es-ES"/>
        </w:rPr>
        <w:t>Dos. El art. 46</w:t>
      </w:r>
      <w:hyperlink r:id="rId7">
        <w:r>
          <w:rPr>
            <w:rStyle w:val="style16"/>
            <w:rFonts w:ascii="Verdana" w:cs="Times New Roman" w:eastAsia="Times New Roman" w:hAnsi="Verdana"/>
            <w:color w:val="0000FF"/>
            <w:sz w:val="24"/>
            <w:szCs w:val="24"/>
            <w:u w:val="single"/>
            <w:lang w:eastAsia="es-ES"/>
          </w:rPr>
          <w:t xml:space="preserve"> EDL 1995/16912 </w:t>
        </w:r>
      </w:hyperlink>
      <w:r>
        <w:rPr>
          <w:rFonts w:ascii="Verdana" w:cs="Times New Roman" w:eastAsia="Times New Roman" w:hAnsi="Verdana"/>
          <w:color w:val="272923"/>
          <w:sz w:val="24"/>
          <w:szCs w:val="24"/>
          <w:lang w:eastAsia="es-ES"/>
        </w:rPr>
        <w:t>queda redactado de la siguiente manera:</w:t>
      </w:r>
    </w:p>
    <w:p>
      <w:pPr>
        <w:pStyle w:val="style0"/>
        <w:spacing w:after="0" w:before="0" w:line="100" w:lineRule="atLeast"/>
        <w:jc w:val="both"/>
      </w:pPr>
      <w:bookmarkStart w:id="37" w:name="LOC_DFI.3#COR.3"/>
      <w:bookmarkStart w:id="38" w:name="LOC_DFI.3.COR.3"/>
      <w:bookmarkEnd w:id="37"/>
      <w:bookmarkEnd w:id="38"/>
      <w:r>
        <w:rPr>
          <w:rFonts w:ascii="Verdana" w:cs="Times New Roman" w:eastAsia="Times New Roman" w:hAnsi="Verdana"/>
          <w:b/>
          <w:bCs/>
          <w:caps/>
          <w:color w:val="008000"/>
          <w:sz w:val="24"/>
          <w:szCs w:val="24"/>
          <w:lang w:eastAsia="es-ES"/>
        </w:rPr>
        <w:t>Artículo 46.  </w:t>
      </w:r>
      <w:r>
        <w:rPr>
          <w:rFonts w:ascii="Verdana" w:cs="Times New Roman" w:eastAsia="Times New Roman" w:hAnsi="Verdana"/>
          <w:color w:val="008000"/>
          <w:sz w:val="24"/>
          <w:szCs w:val="24"/>
          <w:lang w:eastAsia="es-ES"/>
        </w:rPr>
        <w:t xml:space="preserve">  Sujetos de la obligación de cotizar </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1. En el Régimen Especial de la Seguridad Social de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 están sujetos a la obligación de cotizar los cabezas de familia o titulares del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familiar que tengan algún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a su servicio de manera exclusiva y permanente y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al servicio de aquéllos comprendidos en el campo de aplicación del citado Régimen Especial, siendo de aplicación lo dispuesto al respecto en el art. 22 de este reglamento.</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A efectos de lo previsto en el párrafo anterior, cuando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preste sus servicios para un solo </w:t>
      </w:r>
      <w:r>
        <w:rPr>
          <w:rFonts w:ascii="Verdana" w:cs="Times New Roman" w:eastAsia="Times New Roman" w:hAnsi="Verdana"/>
          <w:color w:val="FF0B0B"/>
          <w:sz w:val="24"/>
          <w:szCs w:val="24"/>
          <w:lang w:eastAsia="es-ES"/>
        </w:rPr>
        <w:t>empleador</w:t>
      </w:r>
      <w:r>
        <w:rPr>
          <w:rFonts w:ascii="Verdana" w:cs="Times New Roman" w:eastAsia="Times New Roman" w:hAnsi="Verdana"/>
          <w:color w:val="008000"/>
          <w:sz w:val="24"/>
          <w:szCs w:val="24"/>
          <w:lang w:eastAsia="es-ES"/>
        </w:rPr>
        <w:t xml:space="preserve"> y la duración de los mismos sea superior a la mitad de la jornada habitual, se entenderá que aquél los presta de manera exclusiva y permanente.</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2. Si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presta sus servicios con carácter parcial o discontinuo a uno o más </w:t>
      </w:r>
      <w:r>
        <w:rPr>
          <w:rFonts w:ascii="Verdana" w:cs="Times New Roman" w:eastAsia="Times New Roman" w:hAnsi="Verdana"/>
          <w:color w:val="FF0B0B"/>
          <w:sz w:val="24"/>
          <w:szCs w:val="24"/>
          <w:lang w:eastAsia="es-ES"/>
        </w:rPr>
        <w:t>empleadores</w:t>
      </w:r>
      <w:r>
        <w:rPr>
          <w:rFonts w:ascii="Verdana" w:cs="Times New Roman" w:eastAsia="Times New Roman" w:hAnsi="Verdana"/>
          <w:color w:val="008000"/>
          <w:sz w:val="24"/>
          <w:szCs w:val="24"/>
          <w:lang w:eastAsia="es-ES"/>
        </w:rPr>
        <w:t xml:space="preserve"> , el sujeto de la obligación de cotizar a este Régimen Especial, tanto por contingencias comunes como por contingencias profesionales, será exclusivamente dicho trabajador.</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3. Asimismo,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será el sujeto único de la obligación de cotizar en las situaciones de incapacidad temporal, maternidad, paternidad, riesgo durante el embarazo y riesgo durante la lactancia natural, incluido el mes de finalización de dichas situaciones pero excluido el mes en que se inicien, en el que serán sujetos de la obligación de cotizar el cabeza de familia y el </w:t>
      </w:r>
      <w:r>
        <w:rPr>
          <w:rFonts w:ascii="Verdana" w:cs="Times New Roman" w:eastAsia="Times New Roman" w:hAnsi="Verdana"/>
          <w:color w:val="FF0B0B"/>
          <w:sz w:val="24"/>
          <w:szCs w:val="24"/>
          <w:lang w:eastAsia="es-ES"/>
        </w:rPr>
        <w:t>empleado</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en los términos indicados en el apartado 1.</w:t>
      </w:r>
    </w:p>
    <w:p>
      <w:pPr>
        <w:pStyle w:val="style0"/>
        <w:spacing w:after="28" w:before="28" w:line="100" w:lineRule="atLeast"/>
        <w:jc w:val="both"/>
      </w:pPr>
      <w:r>
        <w:rPr>
          <w:rFonts w:ascii="Verdana" w:cs="Times New Roman" w:eastAsia="Times New Roman" w:hAnsi="Verdana"/>
          <w:color w:val="272923"/>
          <w:sz w:val="24"/>
          <w:szCs w:val="24"/>
          <w:lang w:eastAsia="es-ES"/>
        </w:rPr>
        <w:t>Tres. El art. 48</w:t>
      </w:r>
      <w:hyperlink r:id="rId8">
        <w:r>
          <w:rPr>
            <w:rStyle w:val="style16"/>
            <w:rFonts w:ascii="Verdana" w:cs="Times New Roman" w:eastAsia="Times New Roman" w:hAnsi="Verdana"/>
            <w:color w:val="0000FF"/>
            <w:sz w:val="24"/>
            <w:szCs w:val="24"/>
            <w:u w:val="single"/>
            <w:lang w:eastAsia="es-ES"/>
          </w:rPr>
          <w:t xml:space="preserve"> EDL 1995/16912 </w:t>
        </w:r>
      </w:hyperlink>
      <w:r>
        <w:rPr>
          <w:rFonts w:ascii="Verdana" w:cs="Times New Roman" w:eastAsia="Times New Roman" w:hAnsi="Verdana"/>
          <w:color w:val="272923"/>
          <w:sz w:val="24"/>
          <w:szCs w:val="24"/>
          <w:lang w:eastAsia="es-ES"/>
        </w:rPr>
        <w:t>queda redactado de la siguiente manera:</w:t>
      </w:r>
    </w:p>
    <w:p>
      <w:pPr>
        <w:pStyle w:val="style0"/>
        <w:spacing w:after="0" w:before="0" w:line="100" w:lineRule="atLeast"/>
        <w:jc w:val="both"/>
      </w:pPr>
      <w:bookmarkStart w:id="39" w:name="LOC_DFI.3#COR.4"/>
      <w:bookmarkStart w:id="40" w:name="LOC_DFI.3.COR.4"/>
      <w:bookmarkEnd w:id="39"/>
      <w:bookmarkEnd w:id="40"/>
      <w:r>
        <w:rPr>
          <w:rFonts w:ascii="Verdana" w:cs="Times New Roman" w:eastAsia="Times New Roman" w:hAnsi="Verdana"/>
          <w:b/>
          <w:bCs/>
          <w:caps/>
          <w:color w:val="008000"/>
          <w:sz w:val="24"/>
          <w:szCs w:val="24"/>
          <w:lang w:eastAsia="es-ES"/>
        </w:rPr>
        <w:t>Artículo 48.  </w:t>
      </w:r>
      <w:r>
        <w:rPr>
          <w:rFonts w:ascii="Verdana" w:cs="Times New Roman" w:eastAsia="Times New Roman" w:hAnsi="Verdana"/>
          <w:color w:val="008000"/>
          <w:sz w:val="24"/>
          <w:szCs w:val="24"/>
          <w:lang w:eastAsia="es-ES"/>
        </w:rPr>
        <w:t xml:space="preserve">  Tipos de cotización </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1. A efectos de la cotización por contingencias comunes, el tipo de cotización aplicable en este Régimen Especial así como su distribución, en su caso, para determinar las aportaciones de los </w:t>
      </w:r>
      <w:r>
        <w:rPr>
          <w:rFonts w:ascii="Verdana" w:cs="Times New Roman" w:eastAsia="Times New Roman" w:hAnsi="Verdana"/>
          <w:color w:val="FF0B0B"/>
          <w:sz w:val="24"/>
          <w:szCs w:val="24"/>
          <w:lang w:eastAsia="es-ES"/>
        </w:rPr>
        <w:t>empleadores</w:t>
      </w:r>
      <w:r>
        <w:rPr>
          <w:rFonts w:ascii="Verdana" w:cs="Times New Roman" w:eastAsia="Times New Roman" w:hAnsi="Verdana"/>
          <w:color w:val="008000"/>
          <w:sz w:val="24"/>
          <w:szCs w:val="24"/>
          <w:lang w:eastAsia="es-ES"/>
        </w:rPr>
        <w:t xml:space="preserve"> y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 será el determinado por la correspondiente Ley de Presupuestos Generales del Estado en cada ejercicio económico.</w:t>
      </w:r>
    </w:p>
    <w:p>
      <w:pPr>
        <w:pStyle w:val="style0"/>
        <w:spacing w:after="28" w:before="28" w:line="100" w:lineRule="atLeast"/>
        <w:jc w:val="both"/>
      </w:pPr>
      <w:r>
        <w:rPr>
          <w:rFonts w:ascii="Verdana" w:cs="Times New Roman" w:eastAsia="Times New Roman" w:hAnsi="Verdana"/>
          <w:color w:val="008000"/>
          <w:sz w:val="24"/>
          <w:szCs w:val="24"/>
          <w:lang w:eastAsia="es-ES"/>
        </w:rPr>
        <w:t>2. A efectos de la cotización por contingencias profesionales, se aplicará el tipo de cotización que corresponda de la tarifa de primas vigente.</w:t>
      </w:r>
    </w:p>
    <w:p>
      <w:pPr>
        <w:pStyle w:val="style0"/>
        <w:spacing w:after="28" w:before="28" w:line="100" w:lineRule="atLeast"/>
        <w:jc w:val="both"/>
      </w:pPr>
      <w:r>
        <w:rPr>
          <w:rFonts w:ascii="Verdana" w:cs="Times New Roman" w:eastAsia="Times New Roman" w:hAnsi="Verdana"/>
          <w:color w:val="272923"/>
          <w:sz w:val="24"/>
          <w:szCs w:val="24"/>
          <w:lang w:eastAsia="es-ES"/>
        </w:rPr>
        <w:t>Cuatro. El art. 50</w:t>
      </w:r>
      <w:hyperlink r:id="rId9">
        <w:r>
          <w:rPr>
            <w:rStyle w:val="style16"/>
            <w:rFonts w:ascii="Verdana" w:cs="Times New Roman" w:eastAsia="Times New Roman" w:hAnsi="Verdana"/>
            <w:color w:val="0000FF"/>
            <w:sz w:val="24"/>
            <w:szCs w:val="24"/>
            <w:u w:val="single"/>
            <w:lang w:eastAsia="es-ES"/>
          </w:rPr>
          <w:t xml:space="preserve"> EDL 1995/16912 </w:t>
        </w:r>
      </w:hyperlink>
      <w:r>
        <w:rPr>
          <w:rFonts w:ascii="Verdana" w:cs="Times New Roman" w:eastAsia="Times New Roman" w:hAnsi="Verdana"/>
          <w:color w:val="272923"/>
          <w:sz w:val="24"/>
          <w:szCs w:val="24"/>
          <w:lang w:eastAsia="es-ES"/>
        </w:rPr>
        <w:t>queda redactado de la siguiente manera:</w:t>
      </w:r>
    </w:p>
    <w:p>
      <w:pPr>
        <w:pStyle w:val="style0"/>
        <w:spacing w:after="0" w:before="0" w:line="100" w:lineRule="atLeast"/>
        <w:jc w:val="both"/>
      </w:pPr>
      <w:bookmarkStart w:id="41" w:name="LOC_DFI.3#COR.5"/>
      <w:bookmarkStart w:id="42" w:name="LOC_DFI.3.COR.5"/>
      <w:bookmarkEnd w:id="41"/>
      <w:bookmarkEnd w:id="42"/>
      <w:r>
        <w:rPr>
          <w:rFonts w:ascii="Verdana" w:cs="Times New Roman" w:eastAsia="Times New Roman" w:hAnsi="Verdana"/>
          <w:b/>
          <w:bCs/>
          <w:caps/>
          <w:color w:val="008000"/>
          <w:sz w:val="24"/>
          <w:szCs w:val="24"/>
          <w:lang w:eastAsia="es-ES"/>
        </w:rPr>
        <w:t>Artículo 50.  </w:t>
      </w:r>
      <w:r>
        <w:rPr>
          <w:rFonts w:ascii="Verdana" w:cs="Times New Roman" w:eastAsia="Times New Roman" w:hAnsi="Verdana"/>
          <w:color w:val="008000"/>
          <w:sz w:val="24"/>
          <w:szCs w:val="24"/>
          <w:lang w:eastAsia="es-ES"/>
        </w:rPr>
        <w:t xml:space="preserve">  Liquidación de la cuota como objeto de la obligación de cotizar </w:t>
      </w:r>
    </w:p>
    <w:p>
      <w:pPr>
        <w:pStyle w:val="style0"/>
        <w:spacing w:after="28" w:before="28" w:line="100" w:lineRule="atLeast"/>
        <w:jc w:val="both"/>
      </w:pPr>
      <w:r>
        <w:rPr>
          <w:rFonts w:ascii="Verdana" w:cs="Times New Roman" w:eastAsia="Times New Roman" w:hAnsi="Verdana"/>
          <w:color w:val="008000"/>
          <w:sz w:val="24"/>
          <w:szCs w:val="24"/>
          <w:lang w:eastAsia="es-ES"/>
        </w:rPr>
        <w:t xml:space="preserve">La cuantía de la cuota del Régimen Especial de la Seguridad Social de los </w:t>
      </w:r>
      <w:r>
        <w:rPr>
          <w:rFonts w:ascii="Verdana" w:cs="Times New Roman" w:eastAsia="Times New Roman" w:hAnsi="Verdana"/>
          <w:color w:val="FF0B0B"/>
          <w:sz w:val="24"/>
          <w:szCs w:val="24"/>
          <w:lang w:eastAsia="es-ES"/>
        </w:rPr>
        <w:t>Empleados</w:t>
      </w:r>
      <w:r>
        <w:rPr>
          <w:rFonts w:ascii="Verdana" w:cs="Times New Roman" w:eastAsia="Times New Roman" w:hAnsi="Verdana"/>
          <w:color w:val="008000"/>
          <w:sz w:val="24"/>
          <w:szCs w:val="24"/>
          <w:lang w:eastAsia="es-ES"/>
        </w:rPr>
        <w:t xml:space="preserve"> de </w:t>
      </w:r>
      <w:r>
        <w:rPr>
          <w:rFonts w:ascii="Verdana" w:cs="Times New Roman" w:eastAsia="Times New Roman" w:hAnsi="Verdana"/>
          <w:color w:val="FF0B0B"/>
          <w:sz w:val="24"/>
          <w:szCs w:val="24"/>
          <w:lang w:eastAsia="es-ES"/>
        </w:rPr>
        <w:t>Hogar</w:t>
      </w:r>
      <w:r>
        <w:rPr>
          <w:rFonts w:ascii="Verdana" w:cs="Times New Roman" w:eastAsia="Times New Roman" w:hAnsi="Verdana"/>
          <w:color w:val="008000"/>
          <w:sz w:val="24"/>
          <w:szCs w:val="24"/>
          <w:lang w:eastAsia="es-ES"/>
        </w:rPr>
        <w:t xml:space="preserve"> , que será mensual e indivisible, se calculará aplicando a la base de cotización determinada en el art. 47 los tipos de cotización a que se refiere el art. 48, estándose en lo demás a lo establecido en los arts. 17 y siguientes de este reglamento, así como en los arts. 55 y siguientes del Reglamento general de recaudación de la Seguridad Social y demás disposiciones complementarias.</w:t>
      </w:r>
    </w:p>
    <w:p>
      <w:pPr>
        <w:pStyle w:val="style0"/>
        <w:spacing w:after="28" w:before="28" w:line="100" w:lineRule="atLeast"/>
        <w:jc w:val="both"/>
      </w:pPr>
      <w:bookmarkStart w:id="43" w:name="LOC_DFI.4"/>
      <w:bookmarkStart w:id="44" w:name="SE17"/>
      <w:bookmarkEnd w:id="43"/>
      <w:bookmarkEnd w:id="44"/>
      <w:r>
        <w:rPr>
          <w:rFonts w:ascii="Verdana" w:cs="Times New Roman" w:eastAsia="Times New Roman" w:hAnsi="Verdana"/>
          <w:b/>
          <w:bCs/>
          <w:color w:val="0087AD"/>
          <w:sz w:val="21"/>
          <w:lang w:eastAsia="es-ES"/>
        </w:rPr>
        <w:t>Disposición Final Cuarta.  </w:t>
      </w:r>
      <w:r>
        <w:rPr>
          <w:rFonts w:ascii="Verdana" w:cs="Times New Roman" w:eastAsia="Times New Roman" w:hAnsi="Verdana"/>
          <w:color w:val="0087AD"/>
          <w:sz w:val="24"/>
          <w:szCs w:val="24"/>
          <w:lang w:eastAsia="es-ES"/>
        </w:rPr>
        <w:t xml:space="preserve">  Facultades de aplicación y desarrollo </w:t>
      </w:r>
    </w:p>
    <w:p>
      <w:pPr>
        <w:pStyle w:val="style0"/>
        <w:spacing w:after="28" w:before="28" w:line="100" w:lineRule="atLeast"/>
        <w:jc w:val="both"/>
      </w:pPr>
      <w:r>
        <w:rPr>
          <w:rFonts w:ascii="Verdana" w:cs="Times New Roman" w:eastAsia="Times New Roman" w:hAnsi="Verdana"/>
          <w:color w:val="272923"/>
          <w:sz w:val="24"/>
          <w:szCs w:val="24"/>
          <w:lang w:eastAsia="es-ES"/>
        </w:rPr>
        <w:t>Se faculta al Ministro de Trabajo e Inmigración para dictar las disposiciones de carácter general necesarias para la aplicación y desarrollo de este real decreto.</w:t>
      </w:r>
    </w:p>
    <w:p>
      <w:pPr>
        <w:pStyle w:val="style0"/>
        <w:spacing w:after="28" w:before="28" w:line="100" w:lineRule="atLeast"/>
        <w:jc w:val="both"/>
      </w:pPr>
      <w:bookmarkStart w:id="45" w:name="LOC_DFI.5"/>
      <w:bookmarkStart w:id="46" w:name="SE18"/>
      <w:bookmarkEnd w:id="45"/>
      <w:bookmarkEnd w:id="46"/>
      <w:r>
        <w:rPr>
          <w:rFonts w:ascii="Verdana" w:cs="Times New Roman" w:eastAsia="Times New Roman" w:hAnsi="Verdana"/>
          <w:b/>
          <w:bCs/>
          <w:color w:val="0087AD"/>
          <w:sz w:val="21"/>
          <w:lang w:eastAsia="es-ES"/>
        </w:rPr>
        <w:t>Disposición Final Quinta.  </w:t>
      </w:r>
      <w:r>
        <w:rPr>
          <w:rFonts w:ascii="Verdana" w:cs="Times New Roman" w:eastAsia="Times New Roman" w:hAnsi="Verdana"/>
          <w:color w:val="0087AD"/>
          <w:sz w:val="24"/>
          <w:szCs w:val="24"/>
          <w:lang w:eastAsia="es-ES"/>
        </w:rPr>
        <w:t xml:space="preserve">  Entrada en vigor </w:t>
      </w:r>
    </w:p>
    <w:p>
      <w:pPr>
        <w:pStyle w:val="style0"/>
        <w:spacing w:after="28" w:before="28" w:line="100" w:lineRule="atLeast"/>
        <w:jc w:val="both"/>
      </w:pPr>
      <w:r>
        <w:rPr>
          <w:rFonts w:ascii="Verdana" w:cs="Times New Roman" w:eastAsia="Times New Roman" w:hAnsi="Verdana"/>
          <w:color w:val="272923"/>
          <w:sz w:val="24"/>
          <w:szCs w:val="24"/>
          <w:lang w:eastAsia="es-ES"/>
        </w:rPr>
        <w:t>El presente Real Decreto entrará en vigor el día primero del mes siguiente al de su publicación en el «Boletín Oficial del Estado».</w:t>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28" w:before="28" w:line="100" w:lineRule="atLeast"/>
        <w:jc w:val="both"/>
      </w:pPr>
      <w:r>
        <w:rPr>
          <w:rFonts w:ascii="Verdana" w:cs="Times New Roman" w:eastAsia="Times New Roman" w:hAnsi="Verdana"/>
          <w:color w:val="777777"/>
          <w:sz w:val="15"/>
          <w:szCs w:val="15"/>
          <w:lang w:eastAsia="es-ES"/>
        </w:rPr>
        <w:t xml:space="preserve">Grupo Editorial El Derecho y Quantor S.L. © Copyright 2010. Todos los derechos reservados. </w:t>
      </w:r>
      <w:hyperlink r:id="rId10">
        <w:r>
          <w:rPr>
            <w:rStyle w:val="style16"/>
            <w:rFonts w:ascii="Verdana" w:cs="Times New Roman" w:eastAsia="Times New Roman" w:hAnsi="Verdana"/>
            <w:color w:val="777777"/>
            <w:sz w:val="15"/>
            <w:szCs w:val="15"/>
            <w:u w:val="single"/>
            <w:lang w:eastAsia="es-ES"/>
          </w:rPr>
          <w:t>Aviso legal</w:t>
        </w:r>
      </w:hyperlink>
    </w:p>
    <w:p>
      <w:pPr>
        <w:pStyle w:val="style0"/>
        <w:spacing w:after="0" w:before="0" w:line="100" w:lineRule="atLeast"/>
        <w:jc w:val="both"/>
      </w:pPr>
      <w:r>
        <w:rPr/>
        <w:drawing>
          <wp:inline distB="0" distL="0" distR="0" distT="0">
            <wp:extent cx="114300" cy="200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14300" cy="200025"/>
                    </a:xfrm>
                    <a:prstGeom prst="rect">
                      <a:avLst/>
                    </a:prstGeom>
                    <a:noFill/>
                    <a:ln w="9525">
                      <a:noFill/>
                      <a:miter lim="800000"/>
                      <a:headEnd/>
                      <a:tailEnd/>
                    </a:ln>
                  </pic:spPr>
                </pic:pic>
              </a:graphicData>
            </a:graphic>
          </wp:inline>
        </w:drawing>
      </w:r>
      <w:r>
        <w:rPr/>
        <w:drawing>
          <wp:inline distB="0" distL="0" distR="0" distT="0">
            <wp:extent cx="114300" cy="200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14300" cy="200025"/>
                    </a:xfrm>
                    <a:prstGeom prst="rect">
                      <a:avLst/>
                    </a:prstGeom>
                    <a:noFill/>
                    <a:ln w="9525">
                      <a:noFill/>
                      <a:miter lim="800000"/>
                      <a:headEnd/>
                      <a:tailEnd/>
                    </a:ln>
                  </pic:spPr>
                </pic:pic>
              </a:graphicData>
            </a:graphic>
          </wp:inline>
        </w:drawing>
      </w:r>
      <w:r>
        <w:rPr/>
        <w:drawing>
          <wp:inline distB="0" distL="0" distR="0" distT="0">
            <wp:extent cx="114300" cy="200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14300" cy="200025"/>
                    </a:xfrm>
                    <a:prstGeom prst="rect">
                      <a:avLst/>
                    </a:prstGeom>
                    <a:noFill/>
                    <a:ln w="9525">
                      <a:noFill/>
                      <a:miter lim="800000"/>
                      <a:headEnd/>
                      <a:tailEnd/>
                    </a:ln>
                  </pic:spPr>
                </pic:pic>
              </a:graphicData>
            </a:graphic>
          </wp:inline>
        </w:drawing>
      </w:r>
    </w:p>
    <w:p>
      <w:pPr>
        <w:pStyle w:val="style0"/>
        <w:spacing w:after="0" w:before="0" w:line="100" w:lineRule="atLeast"/>
        <w:jc w:val="both"/>
      </w:pPr>
      <w:r>
        <w:rPr/>
        <w:drawing>
          <wp:inline distB="0" distL="0" distR="0" distT="0">
            <wp:extent cx="257175" cy="219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257175" cy="219075"/>
                    </a:xfrm>
                    <a:prstGeom prst="rect">
                      <a:avLst/>
                    </a:prstGeom>
                    <a:noFill/>
                    <a:ln w="9525">
                      <a:noFill/>
                      <a:miter lim="800000"/>
                      <a:headEnd/>
                      <a:tailEnd/>
                    </a:ln>
                  </pic:spPr>
                </pic:pic>
              </a:graphicData>
            </a:graphic>
          </wp:inline>
        </w:drawing>
      </w:r>
      <w:r>
        <w:rPr/>
        <w:drawing>
          <wp:inline distB="0" distL="0" distR="0" distT="0">
            <wp:extent cx="276225" cy="219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drawing>
          <wp:inline distB="0" distL="0" distR="0" distT="0">
            <wp:extent cx="114300" cy="200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114300" cy="200025"/>
                    </a:xfrm>
                    <a:prstGeom prst="rect">
                      <a:avLst/>
                    </a:prstGeom>
                    <a:noFill/>
                    <a:ln w="9525">
                      <a:noFill/>
                      <a:miter lim="800000"/>
                      <a:headEnd/>
                      <a:tailEnd/>
                    </a:ln>
                  </pic:spPr>
                </pic:pic>
              </a:graphicData>
            </a:graphic>
          </wp:inline>
        </w:drawing>
      </w:r>
    </w:p>
    <w:p>
      <w:pPr>
        <w:pStyle w:val="style0"/>
        <w:spacing w:after="0" w:before="0" w:line="100" w:lineRule="atLeast"/>
        <w:jc w:val="both"/>
      </w:pPr>
      <w:r>
        <w:rPr/>
        <w:drawing>
          <wp:inline distB="0" distL="0" distR="0" distT="0">
            <wp:extent cx="257175" cy="219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257175" cy="219075"/>
                    </a:xfrm>
                    <a:prstGeom prst="rect">
                      <a:avLst/>
                    </a:prstGeom>
                    <a:noFill/>
                    <a:ln w="9525">
                      <a:noFill/>
                      <a:miter lim="800000"/>
                      <a:headEnd/>
                      <a:tailEnd/>
                    </a:ln>
                  </pic:spPr>
                </pic:pic>
              </a:graphicData>
            </a:graphic>
          </wp:inline>
        </w:drawing>
      </w:r>
      <w:r>
        <w:rPr/>
        <w:drawing>
          <wp:inline distB="0" distL="0" distR="0" distT="0">
            <wp:extent cx="276225" cy="219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drawing>
          <wp:inline distB="0" distL="0" distR="0" distT="0">
            <wp:extent cx="114300" cy="200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114300" cy="200025"/>
                    </a:xfrm>
                    <a:prstGeom prst="rect">
                      <a:avLst/>
                    </a:prstGeom>
                    <a:noFill/>
                    <a:ln w="9525">
                      <a:noFill/>
                      <a:miter lim="800000"/>
                      <a:headEnd/>
                      <a:tailEnd/>
                    </a:ln>
                  </pic:spPr>
                </pic:pic>
              </a:graphicData>
            </a:graphic>
          </wp:inline>
        </w:drawing>
      </w:r>
    </w:p>
    <w:p>
      <w:pPr>
        <w:pStyle w:val="style0"/>
        <w:spacing w:after="0" w:before="0" w:line="100" w:lineRule="atLeast"/>
        <w:jc w:val="both"/>
      </w:pPr>
      <w:r>
        <w:rPr/>
        <w:drawing>
          <wp:inline distB="0" distL="0" distR="0" distT="0">
            <wp:extent cx="66675" cy="66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66675" cy="6667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ascii="Verdana" w:cs="Times New Roman" w:eastAsia="Times New Roman" w:hAnsi="Verdana"/>
          <w:color w:val="272923"/>
          <w:sz w:val="24"/>
          <w:szCs w:val="24"/>
          <w:lang w:eastAsia="es-ES"/>
        </w:rPr>
        <w:t xml:space="preserve">Documentos: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Documento visualizado </w:t>
        <w:br/>
        <w:t xml:space="preserve">Documentos marcados </w:t>
        <w:br/>
        <w:t xml:space="preserve">Página actual del resultado de la búsqueda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Versión: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Versión editorial </w:t>
        <w:br/>
        <w:t xml:space="preserve">Versión original </w:t>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Opciones::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Todo </w:t>
        <w:br/>
        <w:t xml:space="preserve">Título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Datos Base </w:t>
        <w:br/>
        <w:t xml:space="preserve">Texto completo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Índice </w:t>
        <w:br/>
        <w:t xml:space="preserve">Ficha técnica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Voces </w:t>
        <w:br/>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drawing>
          <wp:inline distB="0" distL="0" distR="0" distT="0">
            <wp:extent cx="66675" cy="66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66675" cy="6667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ascii="Verdana" w:cs="Times New Roman" w:eastAsia="Times New Roman" w:hAnsi="Verdana"/>
          <w:color w:val="272923"/>
          <w:sz w:val="24"/>
          <w:szCs w:val="24"/>
          <w:lang w:eastAsia="es-ES"/>
        </w:rPr>
        <w:t xml:space="preserve">Documentos: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Documento visualizado </w:t>
        <w:br/>
        <w:t xml:space="preserve">Documentos marcados </w:t>
        <w:br/>
        <w:t xml:space="preserve">Página actual del resultado de la búsqueda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Versión: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Versión editorial </w:t>
        <w:br/>
        <w:t xml:space="preserve">Versión original </w:t>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Opciones::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Todo </w:t>
        <w:br/>
        <w:t xml:space="preserve">Título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Datos Base </w:t>
        <w:br/>
        <w:t xml:space="preserve">Texto completo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Índice </w:t>
        <w:br/>
        <w:t xml:space="preserve">Ficha técnica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Voces </w:t>
        <w:br/>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 </w:t>
      </w:r>
    </w:p>
    <w:p>
      <w:pPr>
        <w:pStyle w:val="style0"/>
        <w:spacing w:after="0" w:before="0" w:line="100" w:lineRule="atLeast"/>
        <w:jc w:val="both"/>
      </w:pPr>
      <w:r>
        <w:rPr/>
        <w:drawing>
          <wp:inline distB="0" distL="0" distR="0" distT="0">
            <wp:extent cx="66675" cy="66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66675" cy="66675"/>
                    </a:xfrm>
                    <a:prstGeom prst="rect">
                      <a:avLst/>
                    </a:prstGeom>
                    <a:noFill/>
                    <a:ln w="9525">
                      <a:noFill/>
                      <a:miter lim="800000"/>
                      <a:headEnd/>
                      <a:tailEnd/>
                    </a:ln>
                  </pic:spPr>
                </pic:pic>
              </a:graphicData>
            </a:graphic>
          </wp:inline>
        </w:drawing>
      </w:r>
    </w:p>
    <w:p>
      <w:pPr>
        <w:pStyle w:val="style0"/>
        <w:spacing w:after="0" w:before="0" w:line="100" w:lineRule="atLeast"/>
        <w:jc w:val="both"/>
      </w:pPr>
      <w:r>
        <w:rPr>
          <w:rFonts w:ascii="Verdana" w:cs="Times New Roman" w:eastAsia="Times New Roman" w:hAnsi="Verdana"/>
          <w:color w:val="272923"/>
          <w:sz w:val="24"/>
          <w:szCs w:val="24"/>
          <w:lang w:eastAsia="es-ES"/>
        </w:rPr>
        <w:t>Para:</w:t>
        <w:br/>
        <w:br/>
        <w:t>Asunto:</w:t>
        <w:br/>
      </w:r>
    </w:p>
    <w:p>
      <w:pPr>
        <w:pStyle w:val="style0"/>
        <w:spacing w:after="0" w:before="0" w:line="100" w:lineRule="atLeast"/>
        <w:jc w:val="both"/>
      </w:pPr>
      <w:r>
        <w:rPr>
          <w:rFonts w:ascii="Verdana" w:cs="Times New Roman" w:eastAsia="Times New Roman" w:hAnsi="Verdana"/>
          <w:color w:val="272923"/>
          <w:sz w:val="24"/>
          <w:szCs w:val="24"/>
          <w:lang w:eastAsia="es-ES"/>
        </w:rPr>
        <w:t xml:space="preserve">Formato: </w:t>
        <w:br/>
        <w:t xml:space="preserve">PDF: </w:t>
        <w:br/>
        <w:t xml:space="preserve">RTF (Word) </w:t>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Observaciones:</w:t>
        <w:br/>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 xml:space="preserve">Documentos: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Documento visualizado </w:t>
        <w:br/>
        <w:t xml:space="preserve">Documentos marcados </w:t>
        <w:br/>
        <w:t xml:space="preserve">Página actual del resultado de la búsqueda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Versión: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Versión editorial </w:t>
        <w:br/>
        <w:t xml:space="preserve">Versión original </w:t>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Opciones::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Todo </w:t>
        <w:br/>
        <w:t xml:space="preserve">Título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Datos Base </w:t>
        <w:br/>
        <w:t xml:space="preserve">Texto completo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Índice </w:t>
        <w:br/>
        <w:t xml:space="preserve">Ficha técnica </w:t>
      </w:r>
    </w:p>
    <w:p>
      <w:pPr>
        <w:pStyle w:val="style0"/>
        <w:spacing w:after="0" w:before="0" w:line="100" w:lineRule="atLeast"/>
        <w:jc w:val="both"/>
      </w:pPr>
      <w:r>
        <w:rPr>
          <w:rFonts w:ascii="Verdana" w:cs="Times New Roman" w:eastAsia="Times New Roman" w:hAnsi="Verdana"/>
          <w:color w:val="272923"/>
          <w:sz w:val="24"/>
          <w:szCs w:val="24"/>
          <w:lang w:eastAsia="es-ES"/>
        </w:rPr>
        <w:t xml:space="preserve">Voces </w:t>
        <w:br/>
      </w:r>
    </w:p>
    <w:p>
      <w:pPr>
        <w:pStyle w:val="style0"/>
        <w:spacing w:after="0" w:before="0" w:line="100" w:lineRule="atLeast"/>
        <w:jc w:val="both"/>
      </w:pPr>
      <w:r>
        <w:rPr>
          <w:rFonts w:ascii="Verdana" w:cs="Times New Roman" w:eastAsia="Times New Roman" w:hAnsi="Verdana"/>
          <w:color w:val="272923"/>
          <w:sz w:val="24"/>
          <w:szCs w:val="24"/>
          <w:lang w:eastAsia="es-ES"/>
        </w:rPr>
        <w:br/>
      </w:r>
    </w:p>
    <w:p>
      <w:pPr>
        <w:pStyle w:val="style0"/>
        <w:spacing w:after="0" w:before="0" w:line="100" w:lineRule="atLeast"/>
        <w:jc w:val="both"/>
      </w:pPr>
      <w:r>
        <w:rPr>
          <w:rFonts w:ascii="Verdana" w:cs="Times New Roman" w:eastAsia="Times New Roman" w:hAnsi="Verdana"/>
          <w:color w:val="272923"/>
          <w:sz w:val="24"/>
          <w:szCs w:val="24"/>
          <w:lang w:eastAsia="es-ES"/>
        </w:rPr>
        <w:t xml:space="preserve">Enviar comprimido </w:t>
      </w:r>
    </w:p>
    <w:p>
      <w:pPr>
        <w:pStyle w:val="style0"/>
        <w:spacing w:after="0" w:before="0" w:line="100" w:lineRule="atLeast"/>
        <w:jc w:val="both"/>
      </w:pPr>
      <w:r>
        <w:rPr>
          <w:rFonts w:ascii="Verdana" w:cs="Times New Roman" w:eastAsia="Times New Roman" w:hAnsi="Verdana"/>
          <w:color w:val="272923"/>
          <w:sz w:val="24"/>
          <w:szCs w:val="24"/>
          <w:lang w:eastAsia="es-ES"/>
        </w:rPr>
        <w:t> </w:t>
      </w:r>
    </w:p>
    <w:p>
      <w:pPr>
        <w:pStyle w:val="style0"/>
        <w:jc w:val="both"/>
      </w:pPr>
      <w:r>
        <w:rPr/>
      </w:r>
    </w:p>
    <w:sectPr>
      <w:type w:val="nextPage"/>
      <w:pgSz w:h="16838" w:w="11906"/>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Enlace de Internet"/>
    <w:basedOn w:val="style15"/>
    <w:next w:val="style16"/>
    <w:rPr>
      <w:color w:val="0000FF"/>
      <w:u w:val="single"/>
      <w:lang w:bidi="es-ES" w:eastAsia="es-ES" w:val="es-ES"/>
    </w:rPr>
  </w:style>
  <w:style w:styleId="style17" w:type="character">
    <w:name w:val="resalte1"/>
    <w:basedOn w:val="style15"/>
    <w:next w:val="style17"/>
    <w:rPr>
      <w:color w:val="FF0B0B"/>
    </w:rPr>
  </w:style>
  <w:style w:styleId="style18" w:type="character">
    <w:name w:val="idx-ise-p1"/>
    <w:basedOn w:val="style15"/>
    <w:next w:val="style18"/>
    <w:rPr>
      <w:color w:val="0087AD"/>
    </w:rPr>
  </w:style>
  <w:style w:styleId="style19" w:type="character">
    <w:name w:val="idx-ise-j1"/>
    <w:basedOn w:val="style15"/>
    <w:next w:val="style19"/>
    <w:rPr>
      <w:b/>
      <w:bCs/>
    </w:rPr>
  </w:style>
  <w:style w:styleId="style20" w:type="character">
    <w:name w:val="salto-documento"/>
    <w:basedOn w:val="style15"/>
    <w:next w:val="style20"/>
    <w:rPr/>
  </w:style>
  <w:style w:styleId="style21" w:type="character">
    <w:name w:val="resalte2"/>
    <w:basedOn w:val="style15"/>
    <w:next w:val="style21"/>
    <w:rPr>
      <w:color w:val="FF0B0B"/>
    </w:rPr>
  </w:style>
  <w:style w:styleId="style22" w:type="character">
    <w:name w:val="mayor_22"/>
    <w:basedOn w:val="style15"/>
    <w:next w:val="style22"/>
    <w:rPr>
      <w:b/>
      <w:bCs/>
      <w:caps/>
    </w:rPr>
  </w:style>
  <w:style w:styleId="style23" w:type="character">
    <w:name w:val="resalte3"/>
    <w:basedOn w:val="style15"/>
    <w:next w:val="style23"/>
    <w:rPr>
      <w:color w:val="FF0B0B"/>
    </w:rPr>
  </w:style>
  <w:style w:styleId="style24" w:type="character">
    <w:name w:val="resalte4"/>
    <w:basedOn w:val="style15"/>
    <w:next w:val="style24"/>
    <w:rPr>
      <w:color w:val="FF0B0B"/>
    </w:rPr>
  </w:style>
  <w:style w:styleId="style25" w:type="character">
    <w:name w:val="resalte5"/>
    <w:basedOn w:val="style15"/>
    <w:next w:val="style25"/>
    <w:rPr>
      <w:color w:val="FF0B0B"/>
    </w:rPr>
  </w:style>
  <w:style w:styleId="style26" w:type="character">
    <w:name w:val="resalte6"/>
    <w:basedOn w:val="style15"/>
    <w:next w:val="style26"/>
    <w:rPr>
      <w:color w:val="FF0B0B"/>
    </w:rPr>
  </w:style>
  <w:style w:styleId="style27" w:type="character">
    <w:name w:val="resalte7"/>
    <w:basedOn w:val="style15"/>
    <w:next w:val="style27"/>
    <w:rPr>
      <w:color w:val="FF0B0B"/>
    </w:rPr>
  </w:style>
  <w:style w:styleId="style28" w:type="character">
    <w:name w:val="mayor2"/>
    <w:basedOn w:val="style15"/>
    <w:next w:val="style28"/>
    <w:rPr>
      <w:b/>
      <w:bCs/>
      <w:sz w:val="21"/>
      <w:szCs w:val="21"/>
    </w:rPr>
  </w:style>
  <w:style w:styleId="style29" w:type="character">
    <w:name w:val="resalte8"/>
    <w:basedOn w:val="style15"/>
    <w:next w:val="style29"/>
    <w:rPr>
      <w:color w:val="FF0B0B"/>
    </w:rPr>
  </w:style>
  <w:style w:styleId="style30" w:type="character">
    <w:name w:val="resalte9"/>
    <w:basedOn w:val="style15"/>
    <w:next w:val="style30"/>
    <w:rPr>
      <w:color w:val="FF0B0B"/>
    </w:rPr>
  </w:style>
  <w:style w:styleId="style31" w:type="character">
    <w:name w:val="resalte10"/>
    <w:basedOn w:val="style15"/>
    <w:next w:val="style31"/>
    <w:rPr>
      <w:color w:val="FF0B0B"/>
    </w:rPr>
  </w:style>
  <w:style w:styleId="style32" w:type="character">
    <w:name w:val="resalte11"/>
    <w:basedOn w:val="style15"/>
    <w:next w:val="style32"/>
    <w:rPr>
      <w:color w:val="FF0B0B"/>
    </w:rPr>
  </w:style>
  <w:style w:styleId="style33" w:type="character">
    <w:name w:val="resalte12"/>
    <w:basedOn w:val="style15"/>
    <w:next w:val="style33"/>
    <w:rPr>
      <w:color w:val="FF0B0B"/>
    </w:rPr>
  </w:style>
  <w:style w:styleId="style34" w:type="character">
    <w:name w:val="Encabezado Car"/>
    <w:basedOn w:val="style15"/>
    <w:next w:val="style34"/>
    <w:rPr>
      <w:rFonts w:ascii="Century Gothic" w:cs="Times New Roman" w:eastAsia="Times New Roman" w:hAnsi="Century Gothic"/>
      <w:sz w:val="24"/>
      <w:szCs w:val="24"/>
      <w:lang w:eastAsia="es-ES"/>
    </w:rPr>
  </w:style>
  <w:style w:styleId="style35" w:type="character">
    <w:name w:val="ListLabel 1"/>
    <w:next w:val="style35"/>
    <w:rPr>
      <w:sz w:val="20"/>
    </w:rPr>
  </w:style>
  <w:style w:styleId="style36" w:type="paragraph">
    <w:name w:val="Encabezado"/>
    <w:basedOn w:val="style0"/>
    <w:next w:val="style37"/>
    <w:pPr>
      <w:keepNext/>
      <w:spacing w:after="120" w:before="240"/>
    </w:pPr>
    <w:rPr>
      <w:rFonts w:ascii="Liberation Sans" w:cs="Lohit Devanagari" w:eastAsia="WenQuanYi Zen Hei Sharp" w:hAnsi="Liberation Sans"/>
      <w:sz w:val="28"/>
      <w:szCs w:val="28"/>
    </w:rPr>
  </w:style>
  <w:style w:styleId="style37" w:type="paragraph">
    <w:name w:val="Cuerpo de texto"/>
    <w:basedOn w:val="style0"/>
    <w:next w:val="style37"/>
    <w:pPr>
      <w:spacing w:after="120" w:before="0"/>
    </w:pPr>
    <w:rPr/>
  </w:style>
  <w:style w:styleId="style38" w:type="paragraph">
    <w:name w:val="Lista"/>
    <w:basedOn w:val="style37"/>
    <w:next w:val="style38"/>
    <w:pPr/>
    <w:rPr>
      <w:rFonts w:cs="Lohit Devanagari"/>
    </w:rPr>
  </w:style>
  <w:style w:styleId="style39" w:type="paragraph">
    <w:name w:val="Etiqueta"/>
    <w:basedOn w:val="style0"/>
    <w:next w:val="style39"/>
    <w:pPr>
      <w:suppressLineNumbers/>
      <w:spacing w:after="120" w:before="120"/>
    </w:pPr>
    <w:rPr>
      <w:rFonts w:cs="Lohit Devanagari"/>
      <w:i/>
      <w:iCs/>
      <w:sz w:val="24"/>
      <w:szCs w:val="24"/>
    </w:rPr>
  </w:style>
  <w:style w:styleId="style40" w:type="paragraph">
    <w:name w:val="Índice"/>
    <w:basedOn w:val="style0"/>
    <w:next w:val="style40"/>
    <w:pPr>
      <w:suppressLineNumbers/>
    </w:pPr>
    <w:rPr>
      <w:rFonts w:cs="Lohit Devanagari"/>
    </w:rPr>
  </w:style>
  <w:style w:styleId="style41" w:type="paragraph">
    <w:name w:val="Normal (Web)"/>
    <w:basedOn w:val="style0"/>
    <w:next w:val="style41"/>
    <w:pPr>
      <w:spacing w:after="28" w:before="28" w:line="100" w:lineRule="atLeast"/>
    </w:pPr>
    <w:rPr>
      <w:rFonts w:ascii="Times New Roman" w:cs="Times New Roman" w:eastAsia="Times New Roman" w:hAnsi="Times New Roman"/>
      <w:sz w:val="24"/>
      <w:szCs w:val="24"/>
      <w:lang w:eastAsia="es-ES"/>
    </w:rPr>
  </w:style>
  <w:style w:styleId="style42" w:type="paragraph">
    <w:name w:val="entrada_2"/>
    <w:basedOn w:val="style0"/>
    <w:next w:val="style42"/>
    <w:pPr>
      <w:spacing w:after="28" w:before="28" w:line="100" w:lineRule="atLeast"/>
    </w:pPr>
    <w:rPr>
      <w:rFonts w:ascii="Times New Roman" w:cs="Times New Roman" w:eastAsia="Times New Roman" w:hAnsi="Times New Roman"/>
      <w:b/>
      <w:bCs/>
      <w:color w:val="525252"/>
      <w:sz w:val="21"/>
      <w:szCs w:val="21"/>
      <w:lang w:eastAsia="es-ES"/>
    </w:rPr>
  </w:style>
  <w:style w:styleId="style43" w:type="paragraph">
    <w:name w:val="titulares"/>
    <w:basedOn w:val="style0"/>
    <w:next w:val="style43"/>
    <w:pPr>
      <w:spacing w:after="28" w:before="28" w:line="100" w:lineRule="atLeast"/>
    </w:pPr>
    <w:rPr>
      <w:rFonts w:ascii="Times New Roman" w:cs="Times New Roman" w:eastAsia="Times New Roman" w:hAnsi="Times New Roman"/>
      <w:color w:val="0087AD"/>
      <w:sz w:val="24"/>
      <w:szCs w:val="24"/>
      <w:lang w:eastAsia="es-ES"/>
    </w:rPr>
  </w:style>
  <w:style w:styleId="style44" w:type="paragraph">
    <w:name w:val="fuente"/>
    <w:basedOn w:val="style0"/>
    <w:next w:val="style44"/>
    <w:pPr>
      <w:spacing w:after="28" w:before="28" w:line="100" w:lineRule="atLeast"/>
    </w:pPr>
    <w:rPr>
      <w:rFonts w:ascii="Times New Roman" w:cs="Times New Roman" w:eastAsia="Times New Roman" w:hAnsi="Times New Roman"/>
      <w:color w:val="9D1F1F"/>
      <w:sz w:val="17"/>
      <w:szCs w:val="17"/>
      <w:lang w:eastAsia="es-ES"/>
    </w:rPr>
  </w:style>
  <w:style w:styleId="style45" w:type="paragraph">
    <w:name w:val="Encabezamiento"/>
    <w:basedOn w:val="style0"/>
    <w:next w:val="style45"/>
    <w:pPr>
      <w:suppressLineNumbers/>
      <w:tabs>
        <w:tab w:leader="none" w:pos="4252" w:val="center"/>
        <w:tab w:leader="none" w:pos="8504" w:val="right"/>
      </w:tabs>
      <w:spacing w:after="0" w:before="0" w:line="100" w:lineRule="atLeast"/>
      <w:ind w:firstLine="709" w:left="0" w:right="0"/>
      <w:jc w:val="both"/>
    </w:pPr>
    <w:rPr>
      <w:rFonts w:ascii="Century Gothic" w:cs="Times New Roman" w:eastAsia="Times New Roman" w:hAnsi="Century Gothic"/>
      <w:sz w:val="24"/>
      <w:szCs w:val="24"/>
      <w:lang w:eastAsia="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TargetMode="External"/><Relationship Id="rId3" Type="http://schemas.openxmlformats.org/officeDocument/2006/relationships/hyperlink" Target="javascript:" TargetMode="External"/><Relationship Id="rId4" Type="http://schemas.openxmlformats.org/officeDocument/2006/relationships/hyperlink" Target="javascript:void(0);" TargetMode="External"/><Relationship Id="rId5" Type="http://schemas.openxmlformats.org/officeDocument/2006/relationships/hyperlink" Target="javascript:void(0);"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http://www.elderecho.com/aviso_legal.html" TargetMode="External"/><Relationship Id="rId11" Type="http://schemas.openxmlformats.org/officeDocument/2006/relationships/image" Target="media/image1.gif"/><Relationship Id="rId12" Type="http://schemas.openxmlformats.org/officeDocument/2006/relationships/image" Target="media/image2.gif"/><Relationship Id="rId13" Type="http://schemas.openxmlformats.org/officeDocument/2006/relationships/image" Target="media/image3.gif"/><Relationship Id="rId14" Type="http://schemas.openxmlformats.org/officeDocument/2006/relationships/image" Target="media/image4.gif"/><Relationship Id="rId15" Type="http://schemas.openxmlformats.org/officeDocument/2006/relationships/image" Target="media/image5.gif"/><Relationship Id="rId16" Type="http://schemas.openxmlformats.org/officeDocument/2006/relationships/image" Target="media/image6.gif"/><Relationship Id="rId17" Type="http://schemas.openxmlformats.org/officeDocument/2006/relationships/image" Target="media/image7.gif"/><Relationship Id="rId18" Type="http://schemas.openxmlformats.org/officeDocument/2006/relationships/image" Target="media/image8.gif"/><Relationship Id="rId19" Type="http://schemas.openxmlformats.org/officeDocument/2006/relationships/image" Target="media/image9.gif"/><Relationship Id="rId20" Type="http://schemas.openxmlformats.org/officeDocument/2006/relationships/image" Target="media/image10.gif"/><Relationship Id="rId21" Type="http://schemas.openxmlformats.org/officeDocument/2006/relationships/image" Target="media/image11.gif"/><Relationship Id="rId22" Type="http://schemas.openxmlformats.org/officeDocument/2006/relationships/image" Target="media/image12.gif"/><Relationship Id="rId23" Type="http://schemas.openxmlformats.org/officeDocument/2006/relationships/numbering" Target="numbering.xml"/><Relationship Id="rId2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2012-01-12T18:54:00.00Z</dcterms:created>
  <dc:creator>Vicente</dc:creator>
  <cp:lastModifiedBy>Vicente</cp:lastModifiedBy>
  <dcterms:modified xsi:type="dcterms:W3CDTF">2012-01-12T19:08:00.00Z</dcterms:modified>
  <cp:revision>1</cp:revision>
</cp:coreProperties>
</file>